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6A06A" w14:textId="12C3D98D" w:rsidR="006B621E" w:rsidRDefault="00C87644" w:rsidP="006B621E">
      <w:r>
        <w:rPr>
          <w:rFonts w:asciiTheme="minorHAnsi" w:eastAsia="Verdana" w:hAnsiTheme="minorHAnsi" w:cstheme="minorHAns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A92E6B4" wp14:editId="512F4D2E">
            <wp:simplePos x="0" y="0"/>
            <wp:positionH relativeFrom="column">
              <wp:posOffset>4478655</wp:posOffset>
            </wp:positionH>
            <wp:positionV relativeFrom="paragraph">
              <wp:posOffset>90170</wp:posOffset>
            </wp:positionV>
            <wp:extent cx="1244600" cy="1663700"/>
            <wp:effectExtent l="0" t="0" r="0" b="0"/>
            <wp:wrapNone/>
            <wp:docPr id="149584686" name="Afbeelding 1" descr="Afbeelding met tekst, logo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84686" name="Afbeelding 1" descr="Afbeelding met tekst, logo, Lettertype, Graphics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14FF0D5" wp14:editId="47415EB0">
            <wp:simplePos x="0" y="0"/>
            <wp:positionH relativeFrom="column">
              <wp:posOffset>725805</wp:posOffset>
            </wp:positionH>
            <wp:positionV relativeFrom="paragraph">
              <wp:posOffset>96676</wp:posOffset>
            </wp:positionV>
            <wp:extent cx="1615871" cy="584200"/>
            <wp:effectExtent l="0" t="0" r="3810" b="6350"/>
            <wp:wrapNone/>
            <wp:docPr id="1045694831" name="Afbeelding 1" descr="Afbeelding met tekst, Lettertype, Graphics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694831" name="Afbeelding 1" descr="Afbeelding met tekst, Lettertype, Graphics, logo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871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B36D2D" wp14:editId="5A4B973A">
            <wp:simplePos x="0" y="0"/>
            <wp:positionH relativeFrom="margin">
              <wp:posOffset>-273050</wp:posOffset>
            </wp:positionH>
            <wp:positionV relativeFrom="paragraph">
              <wp:posOffset>15875</wp:posOffset>
            </wp:positionV>
            <wp:extent cx="1014095" cy="809625"/>
            <wp:effectExtent l="0" t="0" r="0" b="0"/>
            <wp:wrapSquare wrapText="bothSides"/>
            <wp:docPr id="1" name="Afbeelding 1" descr="Afbeelding met logo, Lettertype, Graphics,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logo, Lettertype, Graphics, tek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08" b="17484"/>
                    <a:stretch/>
                  </pic:blipFill>
                  <pic:spPr bwMode="auto">
                    <a:xfrm>
                      <a:off x="0" y="0"/>
                      <a:ext cx="101409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95033C" w14:textId="15927EC1" w:rsidR="006B621E" w:rsidRDefault="00C87644" w:rsidP="006B621E">
      <w:pPr>
        <w:rPr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5C50B377" wp14:editId="728458B2">
            <wp:simplePos x="0" y="0"/>
            <wp:positionH relativeFrom="column">
              <wp:posOffset>5437505</wp:posOffset>
            </wp:positionH>
            <wp:positionV relativeFrom="paragraph">
              <wp:posOffset>48895</wp:posOffset>
            </wp:positionV>
            <wp:extent cx="944880" cy="393700"/>
            <wp:effectExtent l="0" t="0" r="7620" b="6350"/>
            <wp:wrapNone/>
            <wp:docPr id="225658515" name="Afbeelding 2" descr="Afbeelding met Lettertype, Graphics, logo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658515" name="Afbeelding 2" descr="Afbeelding met Lettertype, Graphics, logo, grafische vormgeving&#10;&#10;Automatisch gegenereerde beschrijvi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6DDE23E" wp14:editId="0F6EEA89">
            <wp:simplePos x="0" y="0"/>
            <wp:positionH relativeFrom="column">
              <wp:posOffset>3538855</wp:posOffset>
            </wp:positionH>
            <wp:positionV relativeFrom="paragraph">
              <wp:posOffset>7620</wp:posOffset>
            </wp:positionV>
            <wp:extent cx="895350" cy="495300"/>
            <wp:effectExtent l="0" t="0" r="0" b="0"/>
            <wp:wrapNone/>
            <wp:docPr id="1895996089" name="Afbeelding 1" descr="Afbeelding met logo, rood, Lettertyp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5996089" name="Afbeelding 1" descr="Afbeelding met logo, rood, Lettertype, Graphics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Verdana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56AD4438" wp14:editId="7B3AB976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134406" cy="457200"/>
            <wp:effectExtent l="0" t="0" r="8890" b="0"/>
            <wp:wrapNone/>
            <wp:docPr id="1555854776" name="Afbeelding 2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854776" name="Afbeelding 2" descr="Afbeelding met tekst, Lettertype, logo, Graphics&#10;&#10;Automatisch gegenereerde beschrijvi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406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9F0E2" w14:textId="5A750865" w:rsidR="006B621E" w:rsidRDefault="006B621E" w:rsidP="006B621E">
      <w:pPr>
        <w:rPr>
          <w:b/>
          <w:bCs/>
          <w:sz w:val="28"/>
          <w:szCs w:val="28"/>
        </w:rPr>
      </w:pPr>
    </w:p>
    <w:p w14:paraId="478AF102" w14:textId="00DF7246" w:rsidR="006B621E" w:rsidRDefault="006B621E" w:rsidP="006B621E">
      <w:pPr>
        <w:rPr>
          <w:b/>
          <w:bCs/>
          <w:sz w:val="28"/>
          <w:szCs w:val="28"/>
        </w:rPr>
      </w:pPr>
    </w:p>
    <w:p w14:paraId="47746FC6" w14:textId="59A4A5A4" w:rsidR="006B621E" w:rsidRPr="007454CF" w:rsidRDefault="006B621E" w:rsidP="006B621E">
      <w:pPr>
        <w:rPr>
          <w:b/>
          <w:bCs/>
          <w:sz w:val="22"/>
          <w:szCs w:val="22"/>
        </w:rPr>
      </w:pPr>
    </w:p>
    <w:p w14:paraId="3E03DA40" w14:textId="7ADCB707" w:rsidR="001868E2" w:rsidRDefault="001868E2" w:rsidP="006B621E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84CAA93" w14:textId="7B92647A" w:rsidR="006B621E" w:rsidRPr="007454CF" w:rsidRDefault="006B621E" w:rsidP="006B621E">
      <w:pPr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7454CF">
        <w:rPr>
          <w:rFonts w:asciiTheme="minorHAnsi" w:hAnsiTheme="minorHAnsi" w:cstheme="minorHAnsi"/>
          <w:b/>
          <w:bCs/>
          <w:sz w:val="28"/>
          <w:szCs w:val="28"/>
        </w:rPr>
        <w:t>Motie: definitie betaalbare woningen</w:t>
      </w:r>
    </w:p>
    <w:p w14:paraId="7038A2DD" w14:textId="1AAE6C71" w:rsidR="006B621E" w:rsidRPr="007454CF" w:rsidRDefault="006B621E" w:rsidP="006B62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C342E9" w14:textId="436C91E8" w:rsidR="00827ECF" w:rsidRPr="00695842" w:rsidRDefault="006B621E" w:rsidP="006B621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454CF">
        <w:rPr>
          <w:rFonts w:asciiTheme="minorHAnsi" w:hAnsiTheme="minorHAnsi" w:cstheme="minorHAnsi"/>
          <w:sz w:val="22"/>
          <w:szCs w:val="22"/>
        </w:rPr>
        <w:t xml:space="preserve">Provinciale Staten van Noord-Holland, in vergadering bijeen op 6 november 2023, ter behandeling van agendapunt </w:t>
      </w:r>
      <w:r w:rsidR="007C3714" w:rsidRPr="007454CF">
        <w:rPr>
          <w:rFonts w:asciiTheme="minorHAnsi" w:hAnsiTheme="minorHAnsi" w:cstheme="minorHAnsi"/>
          <w:sz w:val="22"/>
          <w:szCs w:val="22"/>
        </w:rPr>
        <w:t>10</w:t>
      </w:r>
      <w:r w:rsidRPr="007454CF">
        <w:rPr>
          <w:rFonts w:asciiTheme="minorHAnsi" w:hAnsiTheme="minorHAnsi" w:cstheme="minorHAnsi"/>
          <w:sz w:val="22"/>
          <w:szCs w:val="22"/>
        </w:rPr>
        <w:t>, Begroting 2024</w:t>
      </w:r>
    </w:p>
    <w:p w14:paraId="0300EBF9" w14:textId="77777777" w:rsidR="00827ECF" w:rsidRPr="007454CF" w:rsidRDefault="00827ECF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556962DB" w14:textId="5F443845" w:rsidR="00827ECF" w:rsidRPr="007454CF" w:rsidRDefault="006B621E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Constaterende</w:t>
      </w:r>
      <w:r w:rsidR="003D5336"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 xml:space="preserve"> dat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>:</w:t>
      </w:r>
    </w:p>
    <w:p w14:paraId="0E28A7B4" w14:textId="19A8DDAF" w:rsidR="00847E5E" w:rsidRPr="0028745D" w:rsidRDefault="002930A8" w:rsidP="0028745D">
      <w:pPr>
        <w:pStyle w:val="Lijstalinea"/>
        <w:numPr>
          <w:ilvl w:val="0"/>
          <w:numId w:val="6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I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>n het</w:t>
      </w:r>
      <w:r w:rsidR="003E6A7C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28745D" w:rsidRPr="007454CF">
        <w:rPr>
          <w:rFonts w:asciiTheme="minorHAnsi" w:eastAsia="Verdana" w:hAnsiTheme="minorHAnsi" w:cstheme="minorHAnsi"/>
          <w:sz w:val="22"/>
          <w:szCs w:val="22"/>
        </w:rPr>
        <w:t>coalitieakkoord</w:t>
      </w:r>
      <w:r w:rsidR="00A86997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6B621E" w:rsidRPr="007454CF">
        <w:rPr>
          <w:rFonts w:asciiTheme="minorHAnsi" w:eastAsia="Verdana" w:hAnsiTheme="minorHAnsi" w:cstheme="minorHAnsi"/>
          <w:sz w:val="22"/>
          <w:szCs w:val="22"/>
        </w:rPr>
        <w:t>‘verbinden</w:t>
      </w:r>
      <w:r w:rsidR="0028745D">
        <w:rPr>
          <w:rFonts w:asciiTheme="minorHAnsi" w:eastAsia="Verdana" w:hAnsiTheme="minorHAnsi" w:cstheme="minorHAnsi"/>
          <w:sz w:val="22"/>
          <w:szCs w:val="22"/>
        </w:rPr>
        <w:t>d</w:t>
      </w:r>
      <w:r w:rsidR="006B621E" w:rsidRPr="007454CF">
        <w:rPr>
          <w:rFonts w:asciiTheme="minorHAnsi" w:eastAsia="Verdana" w:hAnsiTheme="minorHAnsi" w:cstheme="minorHAnsi"/>
          <w:sz w:val="22"/>
          <w:szCs w:val="22"/>
        </w:rPr>
        <w:t xml:space="preserve"> vooruit</w:t>
      </w:r>
      <w:r w:rsidR="0028745D">
        <w:rPr>
          <w:rFonts w:asciiTheme="minorHAnsi" w:eastAsia="Verdana" w:hAnsiTheme="minorHAnsi" w:cstheme="minorHAnsi"/>
          <w:sz w:val="22"/>
          <w:szCs w:val="22"/>
        </w:rPr>
        <w:t>!</w:t>
      </w:r>
      <w:r w:rsidR="006B621E" w:rsidRPr="007454CF">
        <w:rPr>
          <w:rFonts w:asciiTheme="minorHAnsi" w:eastAsia="Verdana" w:hAnsiTheme="minorHAnsi" w:cstheme="minorHAnsi"/>
          <w:sz w:val="22"/>
          <w:szCs w:val="22"/>
        </w:rPr>
        <w:t xml:space="preserve">’ </w:t>
      </w:r>
      <w:r w:rsidR="00A86997" w:rsidRPr="007454CF">
        <w:rPr>
          <w:rFonts w:asciiTheme="minorHAnsi" w:eastAsia="Verdana" w:hAnsiTheme="minorHAnsi" w:cstheme="minorHAnsi"/>
          <w:sz w:val="22"/>
          <w:szCs w:val="22"/>
        </w:rPr>
        <w:t>de landelijke grens</w:t>
      </w:r>
      <w:r w:rsidR="009908DA" w:rsidRPr="007454CF">
        <w:rPr>
          <w:rFonts w:asciiTheme="minorHAnsi" w:eastAsia="Verdana" w:hAnsiTheme="minorHAnsi" w:cstheme="minorHAnsi"/>
          <w:sz w:val="22"/>
          <w:szCs w:val="22"/>
        </w:rPr>
        <w:t xml:space="preserve"> van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 xml:space="preserve"> een </w:t>
      </w:r>
      <w:r w:rsidR="009908DA" w:rsidRPr="007454CF">
        <w:rPr>
          <w:rFonts w:asciiTheme="minorHAnsi" w:eastAsia="Verdana" w:hAnsiTheme="minorHAnsi" w:cstheme="minorHAnsi"/>
          <w:sz w:val="22"/>
          <w:szCs w:val="22"/>
        </w:rPr>
        <w:t xml:space="preserve">betaalbare 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 xml:space="preserve">woning van maximaal 85% van de NHG-koopgrens (85% van € 405.000, dus € 344.000) als betaalbaar </w:t>
      </w:r>
      <w:r w:rsidR="00B54AAF" w:rsidRPr="007454CF">
        <w:rPr>
          <w:rFonts w:asciiTheme="minorHAnsi" w:eastAsia="Verdana" w:hAnsiTheme="minorHAnsi" w:cstheme="minorHAnsi"/>
          <w:sz w:val="22"/>
          <w:szCs w:val="22"/>
        </w:rPr>
        <w:t>wordt aangehouden</w:t>
      </w:r>
      <w:r w:rsidR="001D29B9" w:rsidRPr="007454CF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46046744" w14:textId="576F70E4" w:rsidR="008C4A7D" w:rsidRPr="007454CF" w:rsidRDefault="00724676" w:rsidP="006B621E">
      <w:pPr>
        <w:pStyle w:val="Lijstalinea"/>
        <w:numPr>
          <w:ilvl w:val="0"/>
          <w:numId w:val="6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Ve</w:t>
      </w:r>
      <w:r w:rsidR="00992B10" w:rsidRPr="007454CF">
        <w:rPr>
          <w:rFonts w:asciiTheme="minorHAnsi" w:eastAsia="Verdana" w:hAnsiTheme="minorHAnsi" w:cstheme="minorHAnsi"/>
          <w:sz w:val="22"/>
          <w:szCs w:val="22"/>
        </w:rPr>
        <w:t xml:space="preserve">reniging </w:t>
      </w:r>
      <w:r w:rsidR="009B50DB" w:rsidRPr="007454CF">
        <w:rPr>
          <w:rFonts w:asciiTheme="minorHAnsi" w:eastAsia="Verdana" w:hAnsiTheme="minorHAnsi" w:cstheme="minorHAnsi"/>
          <w:sz w:val="22"/>
          <w:szCs w:val="22"/>
        </w:rPr>
        <w:t>E</w:t>
      </w:r>
      <w:r w:rsidR="00992B10" w:rsidRPr="007454CF">
        <w:rPr>
          <w:rFonts w:asciiTheme="minorHAnsi" w:eastAsia="Verdana" w:hAnsiTheme="minorHAnsi" w:cstheme="minorHAnsi"/>
          <w:sz w:val="22"/>
          <w:szCs w:val="22"/>
        </w:rPr>
        <w:t>igen</w:t>
      </w:r>
      <w:r w:rsidR="009B50DB" w:rsidRPr="007454CF">
        <w:rPr>
          <w:rFonts w:asciiTheme="minorHAnsi" w:eastAsia="Verdana" w:hAnsiTheme="minorHAnsi" w:cstheme="minorHAnsi"/>
          <w:sz w:val="22"/>
          <w:szCs w:val="22"/>
        </w:rPr>
        <w:t xml:space="preserve"> H</w:t>
      </w:r>
      <w:r w:rsidR="00992B10" w:rsidRPr="007454CF">
        <w:rPr>
          <w:rFonts w:asciiTheme="minorHAnsi" w:eastAsia="Verdana" w:hAnsiTheme="minorHAnsi" w:cstheme="minorHAnsi"/>
          <w:sz w:val="22"/>
          <w:szCs w:val="22"/>
        </w:rPr>
        <w:t xml:space="preserve">uis </w:t>
      </w:r>
      <w:r w:rsidR="00A32A50" w:rsidRPr="007454CF">
        <w:rPr>
          <w:rFonts w:asciiTheme="minorHAnsi" w:eastAsia="Verdana" w:hAnsiTheme="minorHAnsi" w:cstheme="minorHAnsi"/>
          <w:sz w:val="22"/>
          <w:szCs w:val="22"/>
        </w:rPr>
        <w:t xml:space="preserve">zich hard maakt om de </w:t>
      </w:r>
      <w:r w:rsidR="00982FB9" w:rsidRPr="007454CF">
        <w:rPr>
          <w:rFonts w:asciiTheme="minorHAnsi" w:eastAsia="Verdana" w:hAnsiTheme="minorHAnsi" w:cstheme="minorHAnsi"/>
          <w:sz w:val="22"/>
          <w:szCs w:val="22"/>
        </w:rPr>
        <w:t xml:space="preserve">grens </w:t>
      </w:r>
      <w:r w:rsidR="006A3870" w:rsidRPr="007454CF">
        <w:rPr>
          <w:rFonts w:asciiTheme="minorHAnsi" w:eastAsia="Verdana" w:hAnsiTheme="minorHAnsi" w:cstheme="minorHAnsi"/>
          <w:sz w:val="22"/>
          <w:szCs w:val="22"/>
        </w:rPr>
        <w:t xml:space="preserve">van 85% van </w:t>
      </w:r>
      <w:r w:rsidR="00213B0D" w:rsidRPr="007454CF">
        <w:rPr>
          <w:rFonts w:asciiTheme="minorHAnsi" w:eastAsia="Verdana" w:hAnsiTheme="minorHAnsi" w:cstheme="minorHAnsi"/>
          <w:sz w:val="22"/>
          <w:szCs w:val="22"/>
        </w:rPr>
        <w:t>de</w:t>
      </w:r>
      <w:r w:rsidR="006A3870" w:rsidRPr="007454CF">
        <w:rPr>
          <w:rFonts w:asciiTheme="minorHAnsi" w:eastAsia="Verdana" w:hAnsiTheme="minorHAnsi" w:cstheme="minorHAnsi"/>
          <w:sz w:val="22"/>
          <w:szCs w:val="22"/>
        </w:rPr>
        <w:t xml:space="preserve"> NHG</w:t>
      </w:r>
      <w:r w:rsidR="00213B0D" w:rsidRPr="007454CF">
        <w:rPr>
          <w:rFonts w:asciiTheme="minorHAnsi" w:eastAsia="Verdana" w:hAnsiTheme="minorHAnsi" w:cstheme="minorHAnsi"/>
          <w:sz w:val="22"/>
          <w:szCs w:val="22"/>
        </w:rPr>
        <w:t>-koopgrens</w:t>
      </w:r>
      <w:r w:rsidR="00604501" w:rsidRPr="007454CF">
        <w:rPr>
          <w:rFonts w:asciiTheme="minorHAnsi" w:eastAsia="Verdana" w:hAnsiTheme="minorHAnsi" w:cstheme="minorHAnsi"/>
          <w:sz w:val="22"/>
          <w:szCs w:val="22"/>
        </w:rPr>
        <w:t xml:space="preserve">, </w:t>
      </w:r>
      <w:r w:rsidR="00AF003E" w:rsidRPr="007454CF">
        <w:rPr>
          <w:rFonts w:asciiTheme="minorHAnsi" w:eastAsia="Verdana" w:hAnsiTheme="minorHAnsi" w:cstheme="minorHAnsi"/>
          <w:sz w:val="22"/>
          <w:szCs w:val="22"/>
        </w:rPr>
        <w:t>bij het aanduiden van betaalbare woningen,</w:t>
      </w:r>
      <w:r w:rsidR="00604501" w:rsidRPr="007454CF">
        <w:rPr>
          <w:rFonts w:asciiTheme="minorHAnsi" w:eastAsia="Verdana" w:hAnsiTheme="minorHAnsi" w:cstheme="minorHAnsi"/>
          <w:sz w:val="22"/>
          <w:szCs w:val="22"/>
        </w:rPr>
        <w:t xml:space="preserve"> te verlagen</w:t>
      </w:r>
      <w:r w:rsidR="00491C9D" w:rsidRPr="007454CF">
        <w:rPr>
          <w:rFonts w:asciiTheme="minorHAnsi" w:eastAsia="Verdana" w:hAnsiTheme="minorHAnsi" w:cstheme="minorHAnsi"/>
          <w:sz w:val="22"/>
          <w:szCs w:val="22"/>
        </w:rPr>
        <w:t xml:space="preserve"> naar een</w:t>
      </w:r>
      <w:r w:rsidR="0071007E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491C9D" w:rsidRPr="007454CF">
        <w:rPr>
          <w:rFonts w:asciiTheme="minorHAnsi" w:eastAsia="Verdana" w:hAnsiTheme="minorHAnsi" w:cstheme="minorHAnsi"/>
          <w:sz w:val="22"/>
          <w:szCs w:val="22"/>
        </w:rPr>
        <w:t>bovengren</w:t>
      </w:r>
      <w:r w:rsidR="0071007E" w:rsidRPr="007454CF">
        <w:rPr>
          <w:rFonts w:asciiTheme="minorHAnsi" w:eastAsia="Verdana" w:hAnsiTheme="minorHAnsi" w:cstheme="minorHAnsi"/>
          <w:sz w:val="22"/>
          <w:szCs w:val="22"/>
        </w:rPr>
        <w:t xml:space="preserve">s van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€ </w:t>
      </w:r>
      <w:r w:rsidR="0071007E" w:rsidRPr="007454CF">
        <w:rPr>
          <w:rFonts w:asciiTheme="minorHAnsi" w:eastAsia="Verdana" w:hAnsiTheme="minorHAnsi" w:cstheme="minorHAnsi"/>
          <w:sz w:val="22"/>
          <w:szCs w:val="22"/>
        </w:rPr>
        <w:t>260.000</w:t>
      </w:r>
      <w:r w:rsidR="00604501" w:rsidRPr="007454CF">
        <w:rPr>
          <w:rFonts w:asciiTheme="minorHAnsi" w:eastAsia="Verdana" w:hAnsiTheme="minorHAnsi" w:cstheme="minorHAnsi"/>
          <w:sz w:val="22"/>
          <w:szCs w:val="22"/>
        </w:rPr>
        <w:t>.</w:t>
      </w:r>
      <w:r w:rsidR="00847E5E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FF1685" w:rsidRPr="00FF1685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>(</w:t>
      </w:r>
      <w:r w:rsidR="00FF1685" w:rsidRPr="00B3371C">
        <w:rPr>
          <w:rFonts w:asciiTheme="minorHAnsi" w:eastAsia="Verdana" w:hAnsiTheme="minorHAnsi" w:cstheme="minorHAnsi"/>
          <w:i/>
          <w:iCs/>
          <w:color w:val="000000" w:themeColor="text1"/>
          <w:sz w:val="22"/>
          <w:szCs w:val="22"/>
        </w:rPr>
        <w:t xml:space="preserve">Bron: </w:t>
      </w:r>
      <w:hyperlink r:id="rId12" w:history="1">
        <w:r w:rsidR="00FF1685" w:rsidRPr="00B3371C">
          <w:rPr>
            <w:rStyle w:val="Hyperlink"/>
            <w:i/>
            <w:iCs/>
          </w:rPr>
          <w:t>Vereniging Eigen Huis: Bouw jaarlijks 10.000 betaalbare starterswoningen | Vereniging Eigen Huis</w:t>
        </w:r>
      </w:hyperlink>
      <w:r w:rsidR="00FF1685">
        <w:t>)</w:t>
      </w:r>
    </w:p>
    <w:p w14:paraId="2D19645D" w14:textId="02C1CC67" w:rsidR="00125790" w:rsidRDefault="00FA0C08" w:rsidP="00B3371C">
      <w:pPr>
        <w:pStyle w:val="Lijstalinea"/>
        <w:numPr>
          <w:ilvl w:val="0"/>
          <w:numId w:val="6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 xml:space="preserve">De gemeenteraad van Opmeer een motie heeft aangenomen </w:t>
      </w:r>
      <w:r w:rsidR="00145DAA" w:rsidRPr="007454CF">
        <w:rPr>
          <w:rFonts w:asciiTheme="minorHAnsi" w:eastAsia="Verdana" w:hAnsiTheme="minorHAnsi" w:cstheme="minorHAnsi"/>
          <w:sz w:val="22"/>
          <w:szCs w:val="22"/>
        </w:rPr>
        <w:t>waa</w:t>
      </w:r>
      <w:r w:rsidR="00752170" w:rsidRPr="007454CF">
        <w:rPr>
          <w:rFonts w:asciiTheme="minorHAnsi" w:eastAsia="Verdana" w:hAnsiTheme="minorHAnsi" w:cstheme="minorHAnsi"/>
          <w:sz w:val="22"/>
          <w:szCs w:val="22"/>
        </w:rPr>
        <w:t>rin</w:t>
      </w:r>
      <w:r w:rsidR="003F1921" w:rsidRPr="007454CF">
        <w:rPr>
          <w:rFonts w:asciiTheme="minorHAnsi" w:eastAsia="Verdana" w:hAnsiTheme="minorHAnsi" w:cstheme="minorHAnsi"/>
          <w:sz w:val="22"/>
          <w:szCs w:val="22"/>
        </w:rPr>
        <w:t xml:space="preserve"> het</w:t>
      </w:r>
      <w:r w:rsidR="00895B59" w:rsidRPr="007454CF">
        <w:rPr>
          <w:rFonts w:asciiTheme="minorHAnsi" w:eastAsia="Verdana" w:hAnsiTheme="minorHAnsi" w:cstheme="minorHAnsi"/>
          <w:sz w:val="22"/>
          <w:szCs w:val="22"/>
        </w:rPr>
        <w:t xml:space="preserve"> college</w:t>
      </w:r>
      <w:r w:rsidR="00AC163D" w:rsidRPr="007454CF">
        <w:rPr>
          <w:rFonts w:asciiTheme="minorHAnsi" w:eastAsia="Verdana" w:hAnsiTheme="minorHAnsi" w:cstheme="minorHAnsi"/>
          <w:sz w:val="22"/>
          <w:szCs w:val="22"/>
        </w:rPr>
        <w:t xml:space="preserve"> wo</w:t>
      </w:r>
      <w:r w:rsidR="003F1921" w:rsidRPr="007454CF">
        <w:rPr>
          <w:rFonts w:asciiTheme="minorHAnsi" w:eastAsia="Verdana" w:hAnsiTheme="minorHAnsi" w:cstheme="minorHAnsi"/>
          <w:sz w:val="22"/>
          <w:szCs w:val="22"/>
        </w:rPr>
        <w:t xml:space="preserve">rdt verzocht om </w:t>
      </w:r>
      <w:r w:rsidR="001E59C8" w:rsidRPr="007454CF">
        <w:rPr>
          <w:rFonts w:asciiTheme="minorHAnsi" w:eastAsia="Verdana" w:hAnsiTheme="minorHAnsi" w:cstheme="minorHAnsi"/>
          <w:sz w:val="22"/>
          <w:szCs w:val="22"/>
        </w:rPr>
        <w:t xml:space="preserve">een maximale grens van 60% </w:t>
      </w:r>
      <w:r w:rsidR="00701316" w:rsidRPr="007454CF">
        <w:rPr>
          <w:rFonts w:asciiTheme="minorHAnsi" w:eastAsia="Verdana" w:hAnsiTheme="minorHAnsi" w:cstheme="minorHAnsi"/>
          <w:sz w:val="22"/>
          <w:szCs w:val="22"/>
        </w:rPr>
        <w:t xml:space="preserve">van </w:t>
      </w:r>
      <w:r w:rsidR="00D346B4" w:rsidRPr="007454CF">
        <w:rPr>
          <w:rFonts w:asciiTheme="minorHAnsi" w:eastAsia="Verdana" w:hAnsiTheme="minorHAnsi" w:cstheme="minorHAnsi"/>
          <w:sz w:val="22"/>
          <w:szCs w:val="22"/>
        </w:rPr>
        <w:t>de</w:t>
      </w:r>
      <w:r w:rsidR="00701316" w:rsidRPr="007454CF">
        <w:rPr>
          <w:rFonts w:asciiTheme="minorHAnsi" w:eastAsia="Verdana" w:hAnsiTheme="minorHAnsi" w:cstheme="minorHAnsi"/>
          <w:sz w:val="22"/>
          <w:szCs w:val="22"/>
        </w:rPr>
        <w:t xml:space="preserve"> NHG</w:t>
      </w:r>
      <w:r w:rsidR="00D346B4" w:rsidRPr="007454CF">
        <w:rPr>
          <w:rFonts w:asciiTheme="minorHAnsi" w:eastAsia="Verdana" w:hAnsiTheme="minorHAnsi" w:cstheme="minorHAnsi"/>
          <w:sz w:val="22"/>
          <w:szCs w:val="22"/>
        </w:rPr>
        <w:t>-koopgrens</w:t>
      </w:r>
      <w:r w:rsidR="00701316" w:rsidRPr="007454CF">
        <w:rPr>
          <w:rFonts w:asciiTheme="minorHAnsi" w:eastAsia="Verdana" w:hAnsiTheme="minorHAnsi" w:cstheme="minorHAnsi"/>
          <w:sz w:val="22"/>
          <w:szCs w:val="22"/>
        </w:rPr>
        <w:t xml:space="preserve"> als grens te hanteren en dit</w:t>
      </w:r>
      <w:r w:rsidR="001908E1" w:rsidRPr="007454CF">
        <w:rPr>
          <w:rFonts w:asciiTheme="minorHAnsi" w:eastAsia="Verdana" w:hAnsiTheme="minorHAnsi" w:cstheme="minorHAnsi"/>
          <w:sz w:val="22"/>
          <w:szCs w:val="22"/>
        </w:rPr>
        <w:t xml:space="preserve"> in het nieuwe afwegingskader wonen</w:t>
      </w:r>
      <w:r w:rsidR="00E73BD2" w:rsidRPr="007454CF">
        <w:rPr>
          <w:rFonts w:asciiTheme="minorHAnsi" w:eastAsia="Verdana" w:hAnsiTheme="minorHAnsi" w:cstheme="minorHAnsi"/>
          <w:sz w:val="22"/>
          <w:szCs w:val="22"/>
        </w:rPr>
        <w:t xml:space="preserve"> toe te voegen.</w:t>
      </w:r>
      <w:r w:rsidR="003F1921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21E6D6AF" w14:textId="77777777" w:rsidR="00101005" w:rsidRPr="00101005" w:rsidRDefault="001868E2" w:rsidP="00101005">
      <w:pPr>
        <w:pStyle w:val="Lijstalinea"/>
        <w:numPr>
          <w:ilvl w:val="0"/>
          <w:numId w:val="6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De NHG-koopgrens in 2024 omhoog gaat naar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€ </w:t>
      </w:r>
      <w:r>
        <w:rPr>
          <w:rFonts w:asciiTheme="minorHAnsi" w:eastAsia="Verdana" w:hAnsiTheme="minorHAnsi" w:cstheme="minorHAnsi"/>
          <w:sz w:val="22"/>
          <w:szCs w:val="22"/>
        </w:rPr>
        <w:t>435.000</w:t>
      </w:r>
      <w:r w:rsidR="00847E5E">
        <w:rPr>
          <w:rFonts w:asciiTheme="minorHAnsi" w:eastAsia="Verdana" w:hAnsiTheme="minorHAnsi" w:cstheme="minorHAnsi"/>
          <w:sz w:val="22"/>
          <w:szCs w:val="22"/>
        </w:rPr>
        <w:t>,</w:t>
      </w:r>
      <w:r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waarbij de </w:t>
      </w:r>
      <w:r>
        <w:rPr>
          <w:rFonts w:asciiTheme="minorHAnsi" w:eastAsia="Verdana" w:hAnsiTheme="minorHAnsi" w:cstheme="minorHAnsi"/>
          <w:sz w:val="22"/>
          <w:szCs w:val="22"/>
        </w:rPr>
        <w:t xml:space="preserve">grens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van </w:t>
      </w:r>
      <w:r>
        <w:rPr>
          <w:rFonts w:asciiTheme="minorHAnsi" w:eastAsia="Verdana" w:hAnsiTheme="minorHAnsi" w:cstheme="minorHAnsi"/>
          <w:sz w:val="22"/>
          <w:szCs w:val="22"/>
        </w:rPr>
        <w:t xml:space="preserve">betaalbare woningen </w:t>
      </w:r>
      <w:r w:rsidR="00847E5E">
        <w:rPr>
          <w:rFonts w:asciiTheme="minorHAnsi" w:eastAsia="Verdana" w:hAnsiTheme="minorHAnsi" w:cstheme="minorHAnsi"/>
          <w:sz w:val="22"/>
          <w:szCs w:val="22"/>
        </w:rPr>
        <w:t xml:space="preserve">dan naar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€ </w:t>
      </w:r>
      <w:r>
        <w:rPr>
          <w:rFonts w:asciiTheme="minorHAnsi" w:eastAsia="Verdana" w:hAnsiTheme="minorHAnsi" w:cstheme="minorHAnsi"/>
          <w:sz w:val="22"/>
          <w:szCs w:val="22"/>
        </w:rPr>
        <w:t>390.000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 zal gaan. </w:t>
      </w:r>
      <w:r w:rsidR="00B3371C" w:rsidRPr="00B3371C">
        <w:rPr>
          <w:rFonts w:asciiTheme="minorHAnsi" w:eastAsia="Verdana" w:hAnsiTheme="minorHAnsi" w:cstheme="minorHAnsi"/>
          <w:i/>
          <w:iCs/>
          <w:sz w:val="22"/>
          <w:szCs w:val="22"/>
        </w:rPr>
        <w:t xml:space="preserve">(Bron: </w:t>
      </w:r>
      <w:hyperlink r:id="rId13" w:history="1">
        <w:r w:rsidR="00B3371C" w:rsidRPr="00B3371C">
          <w:rPr>
            <w:rStyle w:val="Hyperlink"/>
            <w:i/>
            <w:iCs/>
          </w:rPr>
          <w:t>Grens voor Nationale Hypotheek Garantie stijgt naar 435.000 euro (nos.nl)</w:t>
        </w:r>
      </w:hyperlink>
      <w:r w:rsidR="00B3371C" w:rsidRPr="00B3371C">
        <w:rPr>
          <w:i/>
          <w:iCs/>
        </w:rPr>
        <w:t>)</w:t>
      </w:r>
    </w:p>
    <w:p w14:paraId="2CDB8AD0" w14:textId="4CE733B3" w:rsidR="004000BC" w:rsidRPr="00DA3E0F" w:rsidRDefault="001F1A5A" w:rsidP="00101005">
      <w:pPr>
        <w:pStyle w:val="Lijstalinea"/>
        <w:numPr>
          <w:ilvl w:val="0"/>
          <w:numId w:val="6"/>
        </w:numPr>
        <w:spacing w:line="276" w:lineRule="auto"/>
        <w:rPr>
          <w:rFonts w:ascii="Calibri" w:eastAsia="Verdana" w:hAnsi="Calibri" w:cs="Calibri"/>
          <w:sz w:val="22"/>
          <w:szCs w:val="22"/>
        </w:rPr>
      </w:pPr>
      <w:r w:rsidRPr="00DA3E0F">
        <w:rPr>
          <w:rFonts w:ascii="Calibri" w:hAnsi="Calibri" w:cs="Calibri"/>
          <w:sz w:val="22"/>
          <w:szCs w:val="22"/>
        </w:rPr>
        <w:t xml:space="preserve">De </w:t>
      </w:r>
      <w:r w:rsidR="00DA3E0F">
        <w:rPr>
          <w:rFonts w:ascii="Calibri" w:hAnsi="Calibri" w:cs="Calibri"/>
          <w:sz w:val="22"/>
          <w:szCs w:val="22"/>
        </w:rPr>
        <w:t>T</w:t>
      </w:r>
      <w:r w:rsidRPr="00DA3E0F">
        <w:rPr>
          <w:rFonts w:ascii="Calibri" w:hAnsi="Calibri" w:cs="Calibri"/>
          <w:sz w:val="22"/>
          <w:szCs w:val="22"/>
        </w:rPr>
        <w:t xml:space="preserve">weede </w:t>
      </w:r>
      <w:r w:rsidR="00DA3E0F">
        <w:rPr>
          <w:rFonts w:ascii="Calibri" w:hAnsi="Calibri" w:cs="Calibri"/>
          <w:sz w:val="22"/>
          <w:szCs w:val="22"/>
        </w:rPr>
        <w:t>K</w:t>
      </w:r>
      <w:r w:rsidRPr="00DA3E0F">
        <w:rPr>
          <w:rFonts w:ascii="Calibri" w:hAnsi="Calibri" w:cs="Calibri"/>
          <w:sz w:val="22"/>
          <w:szCs w:val="22"/>
        </w:rPr>
        <w:t>amer op 19 oktober</w:t>
      </w:r>
      <w:r w:rsidR="008A6ADF" w:rsidRPr="00DA3E0F">
        <w:rPr>
          <w:rFonts w:ascii="Calibri" w:hAnsi="Calibri" w:cs="Calibri"/>
          <w:sz w:val="22"/>
          <w:szCs w:val="22"/>
        </w:rPr>
        <w:t xml:space="preserve"> jl. </w:t>
      </w:r>
      <w:r w:rsidR="00174999" w:rsidRPr="00DA3E0F">
        <w:rPr>
          <w:rFonts w:ascii="Calibri" w:hAnsi="Calibri" w:cs="Calibri"/>
          <w:sz w:val="22"/>
          <w:szCs w:val="22"/>
        </w:rPr>
        <w:t xml:space="preserve">een motie </w:t>
      </w:r>
      <w:r w:rsidR="00CC1006" w:rsidRPr="00DA3E0F">
        <w:rPr>
          <w:rFonts w:ascii="Calibri" w:hAnsi="Calibri" w:cs="Calibri"/>
          <w:sz w:val="22"/>
          <w:szCs w:val="22"/>
        </w:rPr>
        <w:t xml:space="preserve">heeft aangenomen </w:t>
      </w:r>
      <w:r w:rsidR="00DA3E0F">
        <w:rPr>
          <w:rFonts w:ascii="Calibri" w:hAnsi="Calibri" w:cs="Calibri"/>
          <w:sz w:val="22"/>
          <w:szCs w:val="22"/>
        </w:rPr>
        <w:t xml:space="preserve">van de leden </w:t>
      </w:r>
      <w:proofErr w:type="spellStart"/>
      <w:r w:rsidR="00DA3E0F" w:rsidRPr="00DA3E0F">
        <w:rPr>
          <w:rFonts w:ascii="Calibri" w:hAnsi="Calibri" w:cs="Calibri"/>
          <w:sz w:val="22"/>
          <w:szCs w:val="22"/>
        </w:rPr>
        <w:t>Boulakjar</w:t>
      </w:r>
      <w:proofErr w:type="spellEnd"/>
      <w:r w:rsidR="00DA3E0F" w:rsidRPr="00DA3E0F">
        <w:rPr>
          <w:rFonts w:ascii="Calibri" w:hAnsi="Calibri" w:cs="Calibri"/>
          <w:sz w:val="22"/>
          <w:szCs w:val="22"/>
        </w:rPr>
        <w:t xml:space="preserve"> </w:t>
      </w:r>
      <w:r w:rsidR="00DA3E0F">
        <w:rPr>
          <w:rFonts w:ascii="Calibri" w:hAnsi="Calibri" w:cs="Calibri"/>
          <w:sz w:val="22"/>
          <w:szCs w:val="22"/>
        </w:rPr>
        <w:t xml:space="preserve">(D66), </w:t>
      </w:r>
      <w:proofErr w:type="spellStart"/>
      <w:r w:rsidR="00DA3E0F" w:rsidRPr="00DA3E0F">
        <w:rPr>
          <w:rFonts w:ascii="Calibri" w:hAnsi="Calibri" w:cs="Calibri"/>
          <w:sz w:val="22"/>
          <w:szCs w:val="22"/>
        </w:rPr>
        <w:t>Grinwis</w:t>
      </w:r>
      <w:proofErr w:type="spellEnd"/>
      <w:r w:rsidR="00DA3E0F" w:rsidRPr="00DA3E0F">
        <w:rPr>
          <w:rFonts w:ascii="Calibri" w:hAnsi="Calibri" w:cs="Calibri"/>
          <w:sz w:val="22"/>
          <w:szCs w:val="22"/>
        </w:rPr>
        <w:t xml:space="preserve"> </w:t>
      </w:r>
      <w:r w:rsidR="00DA3E0F">
        <w:rPr>
          <w:rFonts w:ascii="Calibri" w:hAnsi="Calibri" w:cs="Calibri"/>
          <w:sz w:val="22"/>
          <w:szCs w:val="22"/>
        </w:rPr>
        <w:t xml:space="preserve">(CU) en </w:t>
      </w:r>
      <w:r w:rsidR="00DA3E0F" w:rsidRPr="00DA3E0F">
        <w:rPr>
          <w:rFonts w:ascii="Calibri" w:hAnsi="Calibri" w:cs="Calibri"/>
          <w:sz w:val="22"/>
          <w:szCs w:val="22"/>
        </w:rPr>
        <w:t xml:space="preserve">Peter de Groot </w:t>
      </w:r>
      <w:r w:rsidR="00DA3E0F">
        <w:rPr>
          <w:rFonts w:ascii="Calibri" w:hAnsi="Calibri" w:cs="Calibri"/>
          <w:sz w:val="22"/>
          <w:szCs w:val="22"/>
        </w:rPr>
        <w:t xml:space="preserve">(VVD) </w:t>
      </w:r>
      <w:r w:rsidR="0076593D" w:rsidRPr="00DA3E0F">
        <w:rPr>
          <w:rFonts w:ascii="Calibri" w:hAnsi="Calibri" w:cs="Calibri"/>
          <w:sz w:val="22"/>
          <w:szCs w:val="22"/>
        </w:rPr>
        <w:t>waarin een maximale verkoopgrens van 250.000</w:t>
      </w:r>
      <w:r w:rsidR="004C6A66" w:rsidRPr="00DA3E0F">
        <w:rPr>
          <w:rFonts w:ascii="Calibri" w:hAnsi="Calibri" w:cs="Calibri"/>
          <w:sz w:val="22"/>
          <w:szCs w:val="22"/>
        </w:rPr>
        <w:t xml:space="preserve"> euro</w:t>
      </w:r>
      <w:r w:rsidR="0076593D" w:rsidRPr="00DA3E0F">
        <w:rPr>
          <w:rFonts w:ascii="Calibri" w:hAnsi="Calibri" w:cs="Calibri"/>
          <w:sz w:val="22"/>
          <w:szCs w:val="22"/>
        </w:rPr>
        <w:t xml:space="preserve"> wordt aangehouden</w:t>
      </w:r>
      <w:r w:rsidR="004C6A66" w:rsidRPr="00DA3E0F">
        <w:rPr>
          <w:rFonts w:ascii="Calibri" w:hAnsi="Calibri" w:cs="Calibri"/>
          <w:sz w:val="22"/>
          <w:szCs w:val="22"/>
        </w:rPr>
        <w:t xml:space="preserve"> bij de term ‘betaalbare woning’.</w:t>
      </w:r>
      <w:r w:rsidR="0076593D" w:rsidRPr="00DA3E0F">
        <w:rPr>
          <w:rFonts w:ascii="Calibri" w:hAnsi="Calibri" w:cs="Calibri"/>
          <w:sz w:val="22"/>
          <w:szCs w:val="22"/>
        </w:rPr>
        <w:t xml:space="preserve"> </w:t>
      </w:r>
      <w:r w:rsidR="00101005" w:rsidRPr="00DA3E0F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</w:t>
      </w:r>
    </w:p>
    <w:p w14:paraId="15AA0A5D" w14:textId="04D3F18A" w:rsidR="00827ECF" w:rsidRPr="007454CF" w:rsidRDefault="00827ECF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375C61E2" w14:textId="7A91DBB8" w:rsidR="00827ECF" w:rsidRPr="00B3371C" w:rsidRDefault="006B621E" w:rsidP="006B621E">
      <w:pPr>
        <w:spacing w:line="276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O</w:t>
      </w:r>
      <w:r w:rsidR="003D5336"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verwegende dat:</w:t>
      </w:r>
      <w:r w:rsidR="00E7022B" w:rsidRPr="00E7022B">
        <w:rPr>
          <w:rFonts w:asciiTheme="minorHAnsi" w:eastAsia="Verdana" w:hAnsiTheme="minorHAnsi" w:cstheme="minorHAnsi"/>
          <w:noProof/>
          <w:sz w:val="22"/>
          <w:szCs w:val="22"/>
        </w:rPr>
        <w:t xml:space="preserve"> </w:t>
      </w:r>
    </w:p>
    <w:p w14:paraId="6E23FB9B" w14:textId="0E91219F" w:rsidR="00827ECF" w:rsidRPr="007454CF" w:rsidRDefault="009B50DB" w:rsidP="006B621E">
      <w:pPr>
        <w:pStyle w:val="Lijstalinea"/>
        <w:numPr>
          <w:ilvl w:val="0"/>
          <w:numId w:val="7"/>
        </w:numPr>
        <w:spacing w:line="276" w:lineRule="auto"/>
        <w:rPr>
          <w:rFonts w:asciiTheme="minorHAnsi" w:eastAsia="Verdana" w:hAnsiTheme="minorHAnsi" w:cstheme="minorHAnsi"/>
          <w:color w:val="000000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E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>en jonge</w:t>
      </w:r>
      <w:r w:rsidR="00C87514" w:rsidRPr="007454CF">
        <w:rPr>
          <w:rFonts w:asciiTheme="minorHAnsi" w:eastAsia="Verdana" w:hAnsiTheme="minorHAnsi" w:cstheme="minorHAnsi"/>
          <w:sz w:val="22"/>
          <w:szCs w:val="22"/>
        </w:rPr>
        <w:t xml:space="preserve"> starter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6B621E" w:rsidRPr="007454CF">
        <w:rPr>
          <w:rFonts w:asciiTheme="minorHAnsi" w:eastAsia="Verdana" w:hAnsiTheme="minorHAnsi" w:cstheme="minorHAnsi"/>
          <w:sz w:val="22"/>
          <w:szCs w:val="22"/>
        </w:rPr>
        <w:t>het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 xml:space="preserve"> bedrag </w:t>
      </w:r>
      <w:r w:rsidR="006B621E" w:rsidRPr="007454CF">
        <w:rPr>
          <w:rFonts w:asciiTheme="minorHAnsi" w:eastAsia="Verdana" w:hAnsiTheme="minorHAnsi" w:cstheme="minorHAnsi"/>
          <w:sz w:val="22"/>
          <w:szCs w:val="22"/>
        </w:rPr>
        <w:t xml:space="preserve">van </w:t>
      </w:r>
      <w:r w:rsidR="006B621E" w:rsidRPr="00B3371C">
        <w:rPr>
          <w:rFonts w:asciiTheme="minorHAnsi" w:eastAsia="Verdana" w:hAnsiTheme="minorHAnsi" w:cstheme="minorHAnsi"/>
          <w:color w:val="000000" w:themeColor="text1"/>
          <w:sz w:val="22"/>
          <w:szCs w:val="22"/>
        </w:rPr>
        <w:t xml:space="preserve">€ 344.000 </w:t>
      </w:r>
      <w:r w:rsidR="003D5336" w:rsidRPr="007454CF">
        <w:rPr>
          <w:rFonts w:asciiTheme="minorHAnsi" w:eastAsia="Verdana" w:hAnsiTheme="minorHAnsi" w:cstheme="minorHAnsi"/>
          <w:sz w:val="22"/>
          <w:szCs w:val="22"/>
        </w:rPr>
        <w:t>of een bedrag dat daarbij in de buurt komt in de regel niet kan betalen</w:t>
      </w:r>
      <w:r w:rsidR="00FF62FE" w:rsidRPr="007454CF">
        <w:rPr>
          <w:rFonts w:asciiTheme="minorHAnsi" w:eastAsia="Verdana" w:hAnsiTheme="minorHAnsi" w:cstheme="minorHAnsi"/>
          <w:color w:val="000000"/>
          <w:sz w:val="22"/>
          <w:szCs w:val="22"/>
        </w:rPr>
        <w:t>.</w:t>
      </w:r>
    </w:p>
    <w:p w14:paraId="757867B6" w14:textId="6E27D447" w:rsidR="00827ECF" w:rsidRPr="007454CF" w:rsidRDefault="009B50DB" w:rsidP="006B621E">
      <w:pPr>
        <w:pStyle w:val="Lijstalinea"/>
        <w:numPr>
          <w:ilvl w:val="0"/>
          <w:numId w:val="7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Het</w:t>
      </w:r>
      <w:r w:rsidR="004016A7" w:rsidRPr="007454CF">
        <w:rPr>
          <w:rFonts w:asciiTheme="minorHAnsi" w:eastAsia="Verdana" w:hAnsiTheme="minorHAnsi" w:cstheme="minorHAnsi"/>
          <w:sz w:val="22"/>
          <w:szCs w:val="22"/>
        </w:rPr>
        <w:t xml:space="preserve"> vergroten van de woonkansen van jonge sta</w:t>
      </w:r>
      <w:r w:rsidR="009E0D9C" w:rsidRPr="007454CF">
        <w:rPr>
          <w:rFonts w:asciiTheme="minorHAnsi" w:eastAsia="Verdana" w:hAnsiTheme="minorHAnsi" w:cstheme="minorHAnsi"/>
          <w:sz w:val="22"/>
          <w:szCs w:val="22"/>
        </w:rPr>
        <w:t>rters bevorderd</w:t>
      </w:r>
      <w:r w:rsidR="00180FA1" w:rsidRPr="007454CF">
        <w:rPr>
          <w:rFonts w:asciiTheme="minorHAnsi" w:eastAsia="Verdana" w:hAnsiTheme="minorHAnsi" w:cstheme="minorHAnsi"/>
          <w:sz w:val="22"/>
          <w:szCs w:val="22"/>
        </w:rPr>
        <w:t xml:space="preserve"> dient te worden.</w:t>
      </w:r>
    </w:p>
    <w:p w14:paraId="108AD24E" w14:textId="19D29FC8" w:rsidR="00D4000D" w:rsidRPr="007454CF" w:rsidRDefault="001046EC" w:rsidP="006B621E">
      <w:pPr>
        <w:pStyle w:val="Lijstalinea"/>
        <w:numPr>
          <w:ilvl w:val="0"/>
          <w:numId w:val="7"/>
        </w:num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De term ‘betaalbare woning’</w:t>
      </w:r>
      <w:r w:rsidR="00EE3E3B" w:rsidRPr="007454CF">
        <w:rPr>
          <w:rFonts w:asciiTheme="minorHAnsi" w:eastAsia="Verdana" w:hAnsiTheme="minorHAnsi" w:cstheme="minorHAnsi"/>
          <w:sz w:val="22"/>
          <w:szCs w:val="22"/>
        </w:rPr>
        <w:t xml:space="preserve"> met een grens</w:t>
      </w:r>
      <w:r w:rsidR="00215C23" w:rsidRPr="007454CF">
        <w:rPr>
          <w:rFonts w:asciiTheme="minorHAnsi" w:eastAsia="Verdana" w:hAnsiTheme="minorHAnsi" w:cstheme="minorHAnsi"/>
          <w:sz w:val="22"/>
          <w:szCs w:val="22"/>
        </w:rPr>
        <w:t xml:space="preserve"> als </w:t>
      </w:r>
      <w:r w:rsidR="001868E2">
        <w:rPr>
          <w:rFonts w:asciiTheme="minorHAnsi" w:eastAsia="Verdana" w:hAnsiTheme="minorHAnsi" w:cstheme="minorHAnsi"/>
          <w:sz w:val="22"/>
          <w:szCs w:val="22"/>
        </w:rPr>
        <w:t>de</w:t>
      </w:r>
      <w:r w:rsidR="00215C23" w:rsidRPr="007454CF">
        <w:rPr>
          <w:rFonts w:asciiTheme="minorHAnsi" w:eastAsia="Verdana" w:hAnsiTheme="minorHAnsi" w:cstheme="minorHAnsi"/>
          <w:sz w:val="22"/>
          <w:szCs w:val="22"/>
        </w:rPr>
        <w:t xml:space="preserve"> huidige, als misleiding kan worden beschouwd</w:t>
      </w:r>
      <w:r w:rsidR="00692807" w:rsidRPr="007454CF">
        <w:rPr>
          <w:rFonts w:asciiTheme="minorHAnsi" w:eastAsia="Verdana" w:hAnsiTheme="minorHAnsi" w:cstheme="minorHAnsi"/>
          <w:sz w:val="22"/>
          <w:szCs w:val="22"/>
        </w:rPr>
        <w:t>.</w:t>
      </w:r>
    </w:p>
    <w:p w14:paraId="272F9B71" w14:textId="39511232" w:rsidR="00827ECF" w:rsidRPr="007454CF" w:rsidRDefault="00827ECF" w:rsidP="006B621E">
      <w:pPr>
        <w:spacing w:line="276" w:lineRule="auto"/>
        <w:rPr>
          <w:rFonts w:asciiTheme="minorHAnsi" w:eastAsia="Verdana" w:hAnsiTheme="minorHAnsi" w:cstheme="minorHAnsi"/>
          <w:color w:val="000000"/>
          <w:sz w:val="22"/>
          <w:szCs w:val="22"/>
        </w:rPr>
      </w:pPr>
    </w:p>
    <w:p w14:paraId="686B0E4C" w14:textId="2BE10CF6" w:rsidR="00827ECF" w:rsidRPr="00B3371C" w:rsidRDefault="00E73BD2" w:rsidP="006B621E">
      <w:pPr>
        <w:spacing w:line="276" w:lineRule="auto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Verzoek</w:t>
      </w:r>
      <w:r w:rsidR="00284790"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t het college</w:t>
      </w:r>
      <w:r w:rsidR="003D5336" w:rsidRPr="00B3371C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A2978F4" w14:textId="5EE3D6DE" w:rsidR="00827ECF" w:rsidRPr="007454CF" w:rsidRDefault="00A141C0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 xml:space="preserve">Een </w:t>
      </w:r>
      <w:r w:rsidR="00354BEE" w:rsidRPr="007454CF">
        <w:rPr>
          <w:rFonts w:asciiTheme="minorHAnsi" w:eastAsia="Verdana" w:hAnsiTheme="minorHAnsi" w:cstheme="minorHAnsi"/>
          <w:sz w:val="22"/>
          <w:szCs w:val="22"/>
        </w:rPr>
        <w:t xml:space="preserve">bovengrens van </w:t>
      </w:r>
      <w:r w:rsidR="00B3371C">
        <w:rPr>
          <w:rFonts w:asciiTheme="minorHAnsi" w:eastAsia="Verdana" w:hAnsiTheme="minorHAnsi" w:cstheme="minorHAnsi"/>
          <w:sz w:val="22"/>
          <w:szCs w:val="22"/>
        </w:rPr>
        <w:t xml:space="preserve">€ </w:t>
      </w:r>
      <w:r w:rsidR="00A34687" w:rsidRPr="007454CF">
        <w:rPr>
          <w:rFonts w:asciiTheme="minorHAnsi" w:eastAsia="Verdana" w:hAnsiTheme="minorHAnsi" w:cstheme="minorHAnsi"/>
          <w:sz w:val="22"/>
          <w:szCs w:val="22"/>
        </w:rPr>
        <w:t>2</w:t>
      </w:r>
      <w:r w:rsidR="00E449CF">
        <w:rPr>
          <w:rFonts w:asciiTheme="minorHAnsi" w:eastAsia="Verdana" w:hAnsiTheme="minorHAnsi" w:cstheme="minorHAnsi"/>
          <w:sz w:val="22"/>
          <w:szCs w:val="22"/>
        </w:rPr>
        <w:t>50</w:t>
      </w:r>
      <w:r w:rsidR="00A34687" w:rsidRPr="007454CF">
        <w:rPr>
          <w:rFonts w:asciiTheme="minorHAnsi" w:eastAsia="Verdana" w:hAnsiTheme="minorHAnsi" w:cstheme="minorHAnsi"/>
          <w:sz w:val="22"/>
          <w:szCs w:val="22"/>
        </w:rPr>
        <w:t>.000</w:t>
      </w:r>
      <w:r w:rsidR="00AE3575">
        <w:rPr>
          <w:rFonts w:asciiTheme="minorHAnsi" w:eastAsia="Verdana" w:hAnsiTheme="minorHAnsi" w:cstheme="minorHAnsi"/>
          <w:sz w:val="22"/>
          <w:szCs w:val="22"/>
        </w:rPr>
        <w:t xml:space="preserve"> euro</w:t>
      </w:r>
      <w:r w:rsidR="00A34687" w:rsidRPr="007454CF">
        <w:rPr>
          <w:rFonts w:asciiTheme="minorHAnsi" w:eastAsia="Verdana" w:hAnsiTheme="minorHAnsi" w:cstheme="minorHAnsi"/>
          <w:sz w:val="22"/>
          <w:szCs w:val="22"/>
        </w:rPr>
        <w:t xml:space="preserve"> (zoals</w:t>
      </w:r>
      <w:r w:rsidR="00AE3575">
        <w:rPr>
          <w:rFonts w:asciiTheme="minorHAnsi" w:eastAsia="Verdana" w:hAnsiTheme="minorHAnsi" w:cstheme="minorHAnsi"/>
          <w:sz w:val="22"/>
          <w:szCs w:val="22"/>
        </w:rPr>
        <w:t xml:space="preserve"> aangenomen motie in </w:t>
      </w:r>
      <w:r w:rsidR="00DA3E0F">
        <w:rPr>
          <w:rFonts w:asciiTheme="minorHAnsi" w:eastAsia="Verdana" w:hAnsiTheme="minorHAnsi" w:cstheme="minorHAnsi"/>
          <w:sz w:val="22"/>
          <w:szCs w:val="22"/>
        </w:rPr>
        <w:t>de T</w:t>
      </w:r>
      <w:r w:rsidR="00AE3575">
        <w:rPr>
          <w:rFonts w:asciiTheme="minorHAnsi" w:eastAsia="Verdana" w:hAnsiTheme="minorHAnsi" w:cstheme="minorHAnsi"/>
          <w:sz w:val="22"/>
          <w:szCs w:val="22"/>
        </w:rPr>
        <w:t xml:space="preserve">weede </w:t>
      </w:r>
      <w:r w:rsidR="00DA3E0F">
        <w:rPr>
          <w:rFonts w:asciiTheme="minorHAnsi" w:eastAsia="Verdana" w:hAnsiTheme="minorHAnsi" w:cstheme="minorHAnsi"/>
          <w:sz w:val="22"/>
          <w:szCs w:val="22"/>
        </w:rPr>
        <w:t>K</w:t>
      </w:r>
      <w:r w:rsidR="00AE3575">
        <w:rPr>
          <w:rFonts w:asciiTheme="minorHAnsi" w:eastAsia="Verdana" w:hAnsiTheme="minorHAnsi" w:cstheme="minorHAnsi"/>
          <w:sz w:val="22"/>
          <w:szCs w:val="22"/>
        </w:rPr>
        <w:t>amer</w:t>
      </w:r>
      <w:r w:rsidR="00691B21">
        <w:rPr>
          <w:rFonts w:asciiTheme="minorHAnsi" w:eastAsia="Verdana" w:hAnsiTheme="minorHAnsi" w:cstheme="minorHAnsi"/>
          <w:sz w:val="22"/>
          <w:szCs w:val="22"/>
        </w:rPr>
        <w:t xml:space="preserve"> dicteert</w:t>
      </w:r>
      <w:r w:rsidR="00A34687" w:rsidRPr="007454CF">
        <w:rPr>
          <w:rFonts w:asciiTheme="minorHAnsi" w:eastAsia="Verdana" w:hAnsiTheme="minorHAnsi" w:cstheme="minorHAnsi"/>
          <w:sz w:val="22"/>
          <w:szCs w:val="22"/>
        </w:rPr>
        <w:t>)</w:t>
      </w:r>
      <w:r w:rsidR="00354BEE" w:rsidRPr="007454CF">
        <w:rPr>
          <w:rFonts w:asciiTheme="minorHAnsi" w:eastAsia="Verdana" w:hAnsiTheme="minorHAnsi" w:cstheme="minorHAnsi"/>
          <w:sz w:val="22"/>
          <w:szCs w:val="22"/>
        </w:rPr>
        <w:t xml:space="preserve"> te hantere</w:t>
      </w:r>
      <w:r w:rsidR="00E22E24" w:rsidRPr="007454CF">
        <w:rPr>
          <w:rFonts w:asciiTheme="minorHAnsi" w:eastAsia="Verdana" w:hAnsiTheme="minorHAnsi" w:cstheme="minorHAnsi"/>
          <w:sz w:val="22"/>
          <w:szCs w:val="22"/>
        </w:rPr>
        <w:t>n bi</w:t>
      </w:r>
      <w:r w:rsidR="00CB70BF" w:rsidRPr="007454CF">
        <w:rPr>
          <w:rFonts w:asciiTheme="minorHAnsi" w:eastAsia="Verdana" w:hAnsiTheme="minorHAnsi" w:cstheme="minorHAnsi"/>
          <w:sz w:val="22"/>
          <w:szCs w:val="22"/>
        </w:rPr>
        <w:t xml:space="preserve">j </w:t>
      </w:r>
      <w:r w:rsidR="0093648A" w:rsidRPr="007454CF">
        <w:rPr>
          <w:rFonts w:asciiTheme="minorHAnsi" w:eastAsia="Verdana" w:hAnsiTheme="minorHAnsi" w:cstheme="minorHAnsi"/>
          <w:sz w:val="22"/>
          <w:szCs w:val="22"/>
        </w:rPr>
        <w:t xml:space="preserve">de </w:t>
      </w:r>
      <w:r w:rsidR="00060763" w:rsidRPr="007454CF">
        <w:rPr>
          <w:rFonts w:asciiTheme="minorHAnsi" w:eastAsia="Verdana" w:hAnsiTheme="minorHAnsi" w:cstheme="minorHAnsi"/>
          <w:sz w:val="22"/>
          <w:szCs w:val="22"/>
        </w:rPr>
        <w:t>term</w:t>
      </w:r>
      <w:r w:rsidR="00E22E24" w:rsidRPr="007454CF">
        <w:rPr>
          <w:rFonts w:asciiTheme="minorHAnsi" w:eastAsia="Verdana" w:hAnsiTheme="minorHAnsi" w:cstheme="minorHAnsi"/>
          <w:sz w:val="22"/>
          <w:szCs w:val="22"/>
        </w:rPr>
        <w:t xml:space="preserve"> ‘betaalbare woningen’</w:t>
      </w:r>
      <w:r w:rsidR="00D656D7" w:rsidRPr="007454CF">
        <w:rPr>
          <w:rFonts w:asciiTheme="minorHAnsi" w:eastAsia="Verdana" w:hAnsiTheme="minorHAnsi" w:cstheme="minorHAnsi"/>
          <w:sz w:val="22"/>
          <w:szCs w:val="22"/>
        </w:rPr>
        <w:t>.</w:t>
      </w:r>
      <w:r w:rsidR="00724175" w:rsidRPr="007454CF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="00FF2ECB" w:rsidRPr="00FF2ECB">
        <w:rPr>
          <w:rFonts w:asciiTheme="minorHAnsi" w:eastAsia="Verdana" w:hAnsiTheme="minorHAnsi" w:cstheme="minorHAnsi"/>
          <w:sz w:val="22"/>
          <w:szCs w:val="22"/>
        </w:rPr>
        <w:t>Mochten woningen met hun verkoopprijs toch boven deze grens uitkomen, deze dan niet meer aan te merken als ‘betaalbare woning’.</w:t>
      </w:r>
    </w:p>
    <w:p w14:paraId="7411DA04" w14:textId="77777777" w:rsidR="00827ECF" w:rsidRPr="007454CF" w:rsidRDefault="00827ECF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680AF17D" w14:textId="2A147723" w:rsidR="00827ECF" w:rsidRDefault="003D5336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En gaat over tot de orde van de dag,</w:t>
      </w:r>
    </w:p>
    <w:p w14:paraId="070661A2" w14:textId="77777777" w:rsidR="006B621E" w:rsidRPr="007454CF" w:rsidRDefault="006B621E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1C9259D3" w14:textId="40344755" w:rsidR="006B400F" w:rsidRDefault="006B621E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 w:rsidRPr="007454CF">
        <w:rPr>
          <w:rFonts w:asciiTheme="minorHAnsi" w:eastAsia="Verdana" w:hAnsiTheme="minorHAnsi" w:cstheme="minorHAnsi"/>
          <w:sz w:val="22"/>
          <w:szCs w:val="22"/>
        </w:rPr>
        <w:t>Dennis Heijnen (CDA)</w:t>
      </w:r>
      <w:r w:rsidR="006B400F">
        <w:rPr>
          <w:rFonts w:asciiTheme="minorHAnsi" w:eastAsia="Verdana" w:hAnsiTheme="minorHAnsi" w:cstheme="minorHAnsi"/>
          <w:sz w:val="22"/>
          <w:szCs w:val="22"/>
        </w:rPr>
        <w:tab/>
        <w:t xml:space="preserve">  </w:t>
      </w:r>
      <w:r w:rsidR="00EE41C8">
        <w:rPr>
          <w:rFonts w:asciiTheme="minorHAnsi" w:eastAsia="Verdana" w:hAnsiTheme="minorHAnsi" w:cstheme="minorHAnsi"/>
          <w:sz w:val="22"/>
          <w:szCs w:val="22"/>
        </w:rPr>
        <w:t xml:space="preserve">Jaap </w:t>
      </w:r>
      <w:proofErr w:type="spellStart"/>
      <w:r w:rsidR="00EE41C8">
        <w:rPr>
          <w:rFonts w:asciiTheme="minorHAnsi" w:eastAsia="Verdana" w:hAnsiTheme="minorHAnsi" w:cstheme="minorHAnsi"/>
          <w:sz w:val="22"/>
          <w:szCs w:val="22"/>
        </w:rPr>
        <w:t>Hollebeek</w:t>
      </w:r>
      <w:proofErr w:type="spellEnd"/>
      <w:r w:rsidR="00EE41C8">
        <w:rPr>
          <w:rFonts w:asciiTheme="minorHAnsi" w:eastAsia="Verdana" w:hAnsiTheme="minorHAnsi" w:cstheme="minorHAnsi"/>
          <w:sz w:val="22"/>
          <w:szCs w:val="22"/>
        </w:rPr>
        <w:t xml:space="preserve"> (PvdD)</w:t>
      </w:r>
      <w:r w:rsidR="006B400F">
        <w:rPr>
          <w:rFonts w:asciiTheme="minorHAnsi" w:eastAsia="Verdana" w:hAnsiTheme="minorHAnsi" w:cstheme="minorHAnsi"/>
          <w:sz w:val="22"/>
          <w:szCs w:val="22"/>
        </w:rPr>
        <w:tab/>
        <w:t xml:space="preserve">      </w:t>
      </w:r>
      <w:r w:rsidR="00E7022B">
        <w:rPr>
          <w:rFonts w:asciiTheme="minorHAnsi" w:eastAsia="Verdana" w:hAnsiTheme="minorHAnsi" w:cstheme="minorHAnsi"/>
          <w:sz w:val="22"/>
          <w:szCs w:val="22"/>
        </w:rPr>
        <w:t>Michel Klein (CU)</w:t>
      </w:r>
      <w:r w:rsidR="006B400F">
        <w:rPr>
          <w:rFonts w:asciiTheme="minorHAnsi" w:eastAsia="Verdana" w:hAnsiTheme="minorHAnsi" w:cstheme="minorHAnsi"/>
          <w:sz w:val="22"/>
          <w:szCs w:val="22"/>
        </w:rPr>
        <w:t xml:space="preserve">        </w:t>
      </w:r>
      <w:r w:rsidR="006B400F" w:rsidRPr="006B400F">
        <w:rPr>
          <w:rFonts w:asciiTheme="minorHAnsi" w:eastAsia="Verdana" w:hAnsiTheme="minorHAnsi" w:cstheme="minorHAnsi"/>
          <w:sz w:val="22"/>
          <w:szCs w:val="22"/>
        </w:rPr>
        <w:t xml:space="preserve">Heidi </w:t>
      </w:r>
      <w:proofErr w:type="spellStart"/>
      <w:r w:rsidR="006B400F" w:rsidRPr="006B400F">
        <w:rPr>
          <w:rFonts w:asciiTheme="minorHAnsi" w:eastAsia="Verdana" w:hAnsiTheme="minorHAnsi" w:cstheme="minorHAnsi"/>
          <w:sz w:val="22"/>
          <w:szCs w:val="22"/>
        </w:rPr>
        <w:t>Bouhlel-Lascaris</w:t>
      </w:r>
      <w:proofErr w:type="spellEnd"/>
      <w:r w:rsidR="006B400F">
        <w:rPr>
          <w:rFonts w:asciiTheme="minorHAnsi" w:eastAsia="Verdana" w:hAnsiTheme="minorHAnsi" w:cstheme="minorHAnsi"/>
          <w:sz w:val="22"/>
          <w:szCs w:val="22"/>
        </w:rPr>
        <w:t xml:space="preserve"> (SP)</w:t>
      </w:r>
    </w:p>
    <w:p w14:paraId="03457A41" w14:textId="77777777" w:rsidR="006B400F" w:rsidRDefault="006B400F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</w:p>
    <w:p w14:paraId="01B08519" w14:textId="2A46A067" w:rsidR="00910AC9" w:rsidRPr="00EE41C8" w:rsidRDefault="00910AC9" w:rsidP="006B621E">
      <w:pPr>
        <w:spacing w:line="276" w:lineRule="auto"/>
        <w:rPr>
          <w:rFonts w:asciiTheme="minorHAnsi" w:eastAsia="Verdana" w:hAnsiTheme="minorHAnsi" w:cstheme="minorHAnsi"/>
          <w:sz w:val="22"/>
          <w:szCs w:val="22"/>
        </w:rPr>
      </w:pPr>
      <w:r>
        <w:rPr>
          <w:rFonts w:asciiTheme="minorHAnsi" w:eastAsia="Verdana" w:hAnsiTheme="minorHAnsi" w:cstheme="minorHAnsi"/>
          <w:sz w:val="22"/>
          <w:szCs w:val="22"/>
        </w:rPr>
        <w:t xml:space="preserve">Laurien </w:t>
      </w:r>
      <w:proofErr w:type="spellStart"/>
      <w:r>
        <w:rPr>
          <w:rFonts w:asciiTheme="minorHAnsi" w:eastAsia="Verdana" w:hAnsiTheme="minorHAnsi" w:cstheme="minorHAnsi"/>
          <w:sz w:val="22"/>
          <w:szCs w:val="22"/>
        </w:rPr>
        <w:t>Berkvens</w:t>
      </w:r>
      <w:proofErr w:type="spellEnd"/>
      <w:r>
        <w:rPr>
          <w:rFonts w:asciiTheme="minorHAnsi" w:eastAsia="Verdana" w:hAnsiTheme="minorHAnsi" w:cstheme="minorHAnsi"/>
          <w:sz w:val="22"/>
          <w:szCs w:val="22"/>
        </w:rPr>
        <w:t xml:space="preserve"> (D66)</w:t>
      </w:r>
      <w:r>
        <w:rPr>
          <w:rFonts w:asciiTheme="minorHAnsi" w:eastAsia="Verdana" w:hAnsiTheme="minorHAnsi" w:cstheme="minorHAnsi"/>
          <w:sz w:val="22"/>
          <w:szCs w:val="22"/>
        </w:rPr>
        <w:tab/>
      </w:r>
      <w:r w:rsidR="00C87644">
        <w:rPr>
          <w:rFonts w:asciiTheme="minorHAnsi" w:eastAsia="Verdana" w:hAnsiTheme="minorHAnsi" w:cstheme="minorHAnsi"/>
          <w:sz w:val="22"/>
          <w:szCs w:val="22"/>
        </w:rPr>
        <w:t xml:space="preserve">   Maik de </w:t>
      </w:r>
      <w:proofErr w:type="spellStart"/>
      <w:r w:rsidR="00C87644">
        <w:rPr>
          <w:rFonts w:asciiTheme="minorHAnsi" w:eastAsia="Verdana" w:hAnsiTheme="minorHAnsi" w:cstheme="minorHAnsi"/>
          <w:sz w:val="22"/>
          <w:szCs w:val="22"/>
        </w:rPr>
        <w:t>Weerdt</w:t>
      </w:r>
      <w:proofErr w:type="spellEnd"/>
      <w:r w:rsidR="00C87644">
        <w:rPr>
          <w:rFonts w:asciiTheme="minorHAnsi" w:eastAsia="Verdana" w:hAnsiTheme="minorHAnsi" w:cstheme="minorHAnsi"/>
          <w:sz w:val="22"/>
          <w:szCs w:val="22"/>
        </w:rPr>
        <w:t xml:space="preserve"> (Volt)</w:t>
      </w:r>
    </w:p>
    <w:p w14:paraId="5507330D" w14:textId="5F3FC8AC" w:rsidR="00827ECF" w:rsidRPr="006B621E" w:rsidRDefault="00827ECF" w:rsidP="006B621E">
      <w:pPr>
        <w:spacing w:line="276" w:lineRule="auto"/>
        <w:rPr>
          <w:rFonts w:asciiTheme="minorHAnsi" w:eastAsia="Verdana" w:hAnsiTheme="minorHAnsi" w:cstheme="minorHAnsi"/>
        </w:rPr>
      </w:pPr>
    </w:p>
    <w:p w14:paraId="103E6B64" w14:textId="77777777" w:rsidR="00827ECF" w:rsidRPr="006B621E" w:rsidRDefault="00827ECF" w:rsidP="006B621E">
      <w:pPr>
        <w:spacing w:line="276" w:lineRule="auto"/>
        <w:rPr>
          <w:rFonts w:asciiTheme="minorHAnsi" w:eastAsia="Verdana" w:hAnsiTheme="minorHAnsi" w:cstheme="minorHAnsi"/>
        </w:rPr>
      </w:pPr>
    </w:p>
    <w:p w14:paraId="45AAA3DC" w14:textId="77777777" w:rsidR="00827ECF" w:rsidRPr="006B621E" w:rsidRDefault="00827ECF" w:rsidP="006B621E">
      <w:pPr>
        <w:spacing w:line="276" w:lineRule="auto"/>
        <w:rPr>
          <w:rFonts w:asciiTheme="minorHAnsi" w:eastAsia="Verdana" w:hAnsiTheme="minorHAnsi" w:cstheme="minorHAnsi"/>
        </w:rPr>
      </w:pPr>
    </w:p>
    <w:p w14:paraId="3E5D022B" w14:textId="77777777" w:rsidR="00827ECF" w:rsidRPr="006B621E" w:rsidRDefault="00827ECF" w:rsidP="006B621E">
      <w:pPr>
        <w:spacing w:line="276" w:lineRule="auto"/>
        <w:rPr>
          <w:rFonts w:asciiTheme="minorHAnsi" w:eastAsia="Verdana" w:hAnsiTheme="minorHAnsi" w:cstheme="minorHAnsi"/>
        </w:rPr>
      </w:pPr>
    </w:p>
    <w:p w14:paraId="1128FDE5" w14:textId="1D9CDEB6" w:rsidR="00827ECF" w:rsidRPr="006B621E" w:rsidRDefault="00827ECF" w:rsidP="006B621E">
      <w:pPr>
        <w:spacing w:line="276" w:lineRule="auto"/>
        <w:rPr>
          <w:rFonts w:asciiTheme="minorHAnsi" w:eastAsia="Verdana" w:hAnsiTheme="minorHAnsi" w:cstheme="minorHAnsi"/>
          <w:i/>
          <w:color w:val="FF0000"/>
        </w:rPr>
      </w:pPr>
    </w:p>
    <w:sectPr w:rsidR="00827ECF" w:rsidRPr="006B621E" w:rsidSect="006B621E">
      <w:pgSz w:w="11906" w:h="16838"/>
      <w:pgMar w:top="1068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MJCJH+TimesNewRoman,BoldItalic">
    <w:altName w:val="Arial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1D31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965273"/>
    <w:multiLevelType w:val="hybridMultilevel"/>
    <w:tmpl w:val="FC4C7D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6D50"/>
    <w:multiLevelType w:val="hybridMultilevel"/>
    <w:tmpl w:val="D64CBC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4EC7"/>
    <w:multiLevelType w:val="hybridMultilevel"/>
    <w:tmpl w:val="DE1EC5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3101F"/>
    <w:multiLevelType w:val="hybridMultilevel"/>
    <w:tmpl w:val="4B0EBE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272F4"/>
    <w:multiLevelType w:val="multilevel"/>
    <w:tmpl w:val="FFFFFFFF"/>
    <w:lvl w:ilvl="0">
      <w:start w:val="1"/>
      <w:numFmt w:val="decimal"/>
      <w:pStyle w:val="Kop1"/>
      <w:lvlText w:val="%1."/>
      <w:lvlJc w:val="left"/>
      <w:pPr>
        <w:ind w:left="720" w:hanging="360"/>
      </w:pPr>
    </w:lvl>
    <w:lvl w:ilvl="1">
      <w:start w:val="1"/>
      <w:numFmt w:val="lowerLetter"/>
      <w:pStyle w:val="Kop2"/>
      <w:lvlText w:val="%2."/>
      <w:lvlJc w:val="left"/>
      <w:pPr>
        <w:ind w:left="1440" w:hanging="360"/>
      </w:pPr>
    </w:lvl>
    <w:lvl w:ilvl="2">
      <w:start w:val="1"/>
      <w:numFmt w:val="lowerRoman"/>
      <w:pStyle w:val="Kop3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14D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624341274">
    <w:abstractNumId w:val="5"/>
  </w:num>
  <w:num w:numId="2" w16cid:durableId="542905226">
    <w:abstractNumId w:val="0"/>
  </w:num>
  <w:num w:numId="3" w16cid:durableId="1530605780">
    <w:abstractNumId w:val="6"/>
  </w:num>
  <w:num w:numId="4" w16cid:durableId="1359165049">
    <w:abstractNumId w:val="1"/>
  </w:num>
  <w:num w:numId="5" w16cid:durableId="519441173">
    <w:abstractNumId w:val="4"/>
  </w:num>
  <w:num w:numId="6" w16cid:durableId="1924533026">
    <w:abstractNumId w:val="3"/>
  </w:num>
  <w:num w:numId="7" w16cid:durableId="1003317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ECF"/>
    <w:rsid w:val="0001068A"/>
    <w:rsid w:val="000456F9"/>
    <w:rsid w:val="000510BE"/>
    <w:rsid w:val="00060763"/>
    <w:rsid w:val="00071BB0"/>
    <w:rsid w:val="000D1B52"/>
    <w:rsid w:val="000D66D4"/>
    <w:rsid w:val="000F2DC6"/>
    <w:rsid w:val="00101005"/>
    <w:rsid w:val="0010290E"/>
    <w:rsid w:val="001046EC"/>
    <w:rsid w:val="00125790"/>
    <w:rsid w:val="00145DAA"/>
    <w:rsid w:val="00174999"/>
    <w:rsid w:val="001807B1"/>
    <w:rsid w:val="00180FA1"/>
    <w:rsid w:val="001868E2"/>
    <w:rsid w:val="001908E1"/>
    <w:rsid w:val="0019242F"/>
    <w:rsid w:val="001A092E"/>
    <w:rsid w:val="001C4608"/>
    <w:rsid w:val="001D29B9"/>
    <w:rsid w:val="001E59C8"/>
    <w:rsid w:val="001F1A5A"/>
    <w:rsid w:val="00213B0D"/>
    <w:rsid w:val="00215C23"/>
    <w:rsid w:val="00270CA1"/>
    <w:rsid w:val="00275AAF"/>
    <w:rsid w:val="00284790"/>
    <w:rsid w:val="0028745D"/>
    <w:rsid w:val="002930A8"/>
    <w:rsid w:val="002B4EA5"/>
    <w:rsid w:val="002C43B6"/>
    <w:rsid w:val="00354BEE"/>
    <w:rsid w:val="003D5336"/>
    <w:rsid w:val="003E6A7C"/>
    <w:rsid w:val="003F1921"/>
    <w:rsid w:val="004000BC"/>
    <w:rsid w:val="004016A7"/>
    <w:rsid w:val="00415616"/>
    <w:rsid w:val="0041592F"/>
    <w:rsid w:val="00491C9D"/>
    <w:rsid w:val="004C6A66"/>
    <w:rsid w:val="005948E0"/>
    <w:rsid w:val="005A03E0"/>
    <w:rsid w:val="005A517C"/>
    <w:rsid w:val="00604501"/>
    <w:rsid w:val="006211FF"/>
    <w:rsid w:val="00691B21"/>
    <w:rsid w:val="00692807"/>
    <w:rsid w:val="00695842"/>
    <w:rsid w:val="006A3870"/>
    <w:rsid w:val="006B400F"/>
    <w:rsid w:val="006B621E"/>
    <w:rsid w:val="00701316"/>
    <w:rsid w:val="00703D4A"/>
    <w:rsid w:val="0071007E"/>
    <w:rsid w:val="00724175"/>
    <w:rsid w:val="00724676"/>
    <w:rsid w:val="007450AD"/>
    <w:rsid w:val="007454CF"/>
    <w:rsid w:val="00746D4B"/>
    <w:rsid w:val="00752170"/>
    <w:rsid w:val="0076593D"/>
    <w:rsid w:val="00785B77"/>
    <w:rsid w:val="007A6FB5"/>
    <w:rsid w:val="007C3714"/>
    <w:rsid w:val="008137B6"/>
    <w:rsid w:val="00827ECF"/>
    <w:rsid w:val="00847E5E"/>
    <w:rsid w:val="00873EC0"/>
    <w:rsid w:val="00895B59"/>
    <w:rsid w:val="008A22F9"/>
    <w:rsid w:val="008A6ADF"/>
    <w:rsid w:val="008C4A7D"/>
    <w:rsid w:val="008D2218"/>
    <w:rsid w:val="008D2AAA"/>
    <w:rsid w:val="008F706B"/>
    <w:rsid w:val="00910AC9"/>
    <w:rsid w:val="0093648A"/>
    <w:rsid w:val="00982FB9"/>
    <w:rsid w:val="009908DA"/>
    <w:rsid w:val="00992B10"/>
    <w:rsid w:val="009B3C5A"/>
    <w:rsid w:val="009B50DB"/>
    <w:rsid w:val="009E0D9C"/>
    <w:rsid w:val="00A141C0"/>
    <w:rsid w:val="00A31DB4"/>
    <w:rsid w:val="00A32A50"/>
    <w:rsid w:val="00A34687"/>
    <w:rsid w:val="00A7770A"/>
    <w:rsid w:val="00A86997"/>
    <w:rsid w:val="00AC163D"/>
    <w:rsid w:val="00AC3237"/>
    <w:rsid w:val="00AD65C0"/>
    <w:rsid w:val="00AE3575"/>
    <w:rsid w:val="00AF003E"/>
    <w:rsid w:val="00B3371C"/>
    <w:rsid w:val="00B54AAF"/>
    <w:rsid w:val="00B93F65"/>
    <w:rsid w:val="00BB7ADC"/>
    <w:rsid w:val="00BD74C1"/>
    <w:rsid w:val="00C55912"/>
    <w:rsid w:val="00C6465A"/>
    <w:rsid w:val="00C87514"/>
    <w:rsid w:val="00C87644"/>
    <w:rsid w:val="00CB70BF"/>
    <w:rsid w:val="00CC1006"/>
    <w:rsid w:val="00D065A5"/>
    <w:rsid w:val="00D346B4"/>
    <w:rsid w:val="00D3698A"/>
    <w:rsid w:val="00D4000D"/>
    <w:rsid w:val="00D46179"/>
    <w:rsid w:val="00D4623B"/>
    <w:rsid w:val="00D54562"/>
    <w:rsid w:val="00D656D7"/>
    <w:rsid w:val="00D85CD1"/>
    <w:rsid w:val="00D93252"/>
    <w:rsid w:val="00DA3E0F"/>
    <w:rsid w:val="00DA6EE3"/>
    <w:rsid w:val="00DE793C"/>
    <w:rsid w:val="00DF2072"/>
    <w:rsid w:val="00E22E24"/>
    <w:rsid w:val="00E449CF"/>
    <w:rsid w:val="00E7022B"/>
    <w:rsid w:val="00E73BD2"/>
    <w:rsid w:val="00E875E9"/>
    <w:rsid w:val="00EA4041"/>
    <w:rsid w:val="00EA785D"/>
    <w:rsid w:val="00EE3E3B"/>
    <w:rsid w:val="00EE41C8"/>
    <w:rsid w:val="00F97C35"/>
    <w:rsid w:val="00FA0C08"/>
    <w:rsid w:val="00FA5B2E"/>
    <w:rsid w:val="00FD1D8F"/>
    <w:rsid w:val="00FE5382"/>
    <w:rsid w:val="00FF1685"/>
    <w:rsid w:val="00FF2ECB"/>
    <w:rsid w:val="00FF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F45D8"/>
  <w15:docId w15:val="{F3F318E4-83AE-F840-B46E-2EABE5A4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B6955"/>
  </w:style>
  <w:style w:type="paragraph" w:styleId="Kop1">
    <w:name w:val="heading 1"/>
    <w:basedOn w:val="Standaard"/>
    <w:next w:val="Standaard"/>
    <w:uiPriority w:val="9"/>
    <w:qFormat/>
    <w:rsid w:val="00A470ED"/>
    <w:pPr>
      <w:numPr>
        <w:numId w:val="1"/>
      </w:numPr>
      <w:autoSpaceDE w:val="0"/>
      <w:autoSpaceDN w:val="0"/>
      <w:adjustRightInd w:val="0"/>
      <w:outlineLvl w:val="0"/>
    </w:pPr>
    <w:rPr>
      <w:rFonts w:ascii="FMJCJH+TimesNewRoman,BoldItalic" w:hAnsi="FMJCJH+TimesNewRoman,BoldItalic"/>
      <w:sz w:val="24"/>
    </w:rPr>
  </w:style>
  <w:style w:type="paragraph" w:styleId="Kop2">
    <w:name w:val="heading 2"/>
    <w:basedOn w:val="Standaard"/>
    <w:next w:val="Standaard"/>
    <w:uiPriority w:val="9"/>
    <w:semiHidden/>
    <w:unhideWhenUsed/>
    <w:qFormat/>
    <w:rsid w:val="00055898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rsid w:val="00055898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Standaard"/>
    <w:link w:val="Heading1Char"/>
    <w:rsid w:val="00A470ED"/>
    <w:pPr>
      <w:autoSpaceDE w:val="0"/>
      <w:autoSpaceDN w:val="0"/>
      <w:adjustRightInd w:val="0"/>
    </w:pPr>
    <w:rPr>
      <w:color w:val="000000"/>
      <w:sz w:val="32"/>
      <w:szCs w:val="32"/>
    </w:rPr>
  </w:style>
  <w:style w:type="paragraph" w:customStyle="1" w:styleId="Heading21">
    <w:name w:val="Heading 21"/>
    <w:basedOn w:val="Standaard"/>
    <w:rsid w:val="00A470ED"/>
    <w:pPr>
      <w:autoSpaceDE w:val="0"/>
      <w:autoSpaceDN w:val="0"/>
      <w:adjustRightInd w:val="0"/>
    </w:pPr>
    <w:rPr>
      <w:b/>
      <w:szCs w:val="22"/>
    </w:rPr>
  </w:style>
  <w:style w:type="paragraph" w:customStyle="1" w:styleId="Heading31">
    <w:name w:val="Heading 31"/>
    <w:basedOn w:val="Standaard"/>
    <w:rsid w:val="00A470ED"/>
    <w:pPr>
      <w:autoSpaceDE w:val="0"/>
      <w:autoSpaceDN w:val="0"/>
      <w:adjustRightInd w:val="0"/>
      <w:outlineLvl w:val="1"/>
    </w:pPr>
    <w:rPr>
      <w:i/>
      <w:szCs w:val="22"/>
    </w:rPr>
  </w:style>
  <w:style w:type="paragraph" w:customStyle="1" w:styleId="CharCharChar">
    <w:name w:val="Char Char Char"/>
    <w:basedOn w:val="Standaard"/>
    <w:rsid w:val="004B6955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Heading1Char">
    <w:name w:val="Heading 1 Char"/>
    <w:basedOn w:val="Standaardalinea-lettertype"/>
    <w:link w:val="Heading11"/>
    <w:rsid w:val="004B6955"/>
    <w:rPr>
      <w:rFonts w:ascii="Arial" w:hAnsi="Arial" w:cs="Arial"/>
      <w:color w:val="000000"/>
      <w:sz w:val="32"/>
      <w:szCs w:val="32"/>
      <w:lang w:val="nl-NL" w:eastAsia="nl-NL" w:bidi="ar-SA"/>
    </w:rPr>
  </w:style>
  <w:style w:type="paragraph" w:styleId="Ballontekst">
    <w:name w:val="Balloon Text"/>
    <w:basedOn w:val="Standaard"/>
    <w:link w:val="BallontekstChar"/>
    <w:rsid w:val="00A820F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820F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rsid w:val="003B6EC2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B6EC2"/>
  </w:style>
  <w:style w:type="character" w:customStyle="1" w:styleId="TekstopmerkingChar">
    <w:name w:val="Tekst opmerking Char"/>
    <w:basedOn w:val="Standaardalinea-lettertype"/>
    <w:link w:val="Tekstopmerking"/>
    <w:rsid w:val="003B6EC2"/>
    <w:rPr>
      <w:rFonts w:ascii="Arial" w:hAnsi="Aria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B6E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3B6EC2"/>
    <w:rPr>
      <w:rFonts w:ascii="Arial" w:hAnsi="Arial"/>
      <w:b/>
      <w:bCs/>
    </w:rPr>
  </w:style>
  <w:style w:type="paragraph" w:styleId="Lijstalinea">
    <w:name w:val="List Paragraph"/>
    <w:basedOn w:val="Standaard"/>
    <w:uiPriority w:val="34"/>
    <w:qFormat/>
    <w:rsid w:val="003B6EC2"/>
    <w:pPr>
      <w:ind w:left="720"/>
      <w:contextualSpacing/>
    </w:pPr>
  </w:style>
  <w:style w:type="paragraph" w:styleId="Ondertitel">
    <w:name w:val="Subtitle"/>
    <w:basedOn w:val="Standaard"/>
    <w:next w:val="Standa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e">
    <w:name w:val="Revision"/>
    <w:hidden/>
    <w:uiPriority w:val="99"/>
    <w:semiHidden/>
    <w:rsid w:val="004433A5"/>
  </w:style>
  <w:style w:type="character" w:styleId="Hyperlink">
    <w:name w:val="Hyperlink"/>
    <w:basedOn w:val="Standaardalinea-lettertype"/>
    <w:uiPriority w:val="99"/>
    <w:semiHidden/>
    <w:unhideWhenUsed/>
    <w:rsid w:val="00FF16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99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3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3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nos.nl/artikel/2495337-grens-voor-nationale-hypotheek-garantie-stijgt-naar-435-000-euro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www.eigenhuis.nl/nieuws/vereniging-eigen-huis-bouw-jaarlijks-10-000-betaalbare-starterswoning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3Bn4WJ0ZpYWjbM2RkEl4s07F0w==">CgMxLjA4AHIhMUxfeUoyZ3JjQ3lNcEYtMWY4a3daRjVHRUNGUUZpaW9q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Kaarsemaker</dc:creator>
  <cp:lastModifiedBy>June Spijker</cp:lastModifiedBy>
  <cp:revision>2</cp:revision>
  <cp:lastPrinted>2023-11-06T08:05:00Z</cp:lastPrinted>
  <dcterms:created xsi:type="dcterms:W3CDTF">2023-11-06T08:08:00Z</dcterms:created>
  <dcterms:modified xsi:type="dcterms:W3CDTF">2023-11-06T08:08:00Z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0x0101008D224A5669830A4EAE0C57AC0920F98A</vt:lpwstr>
  </property>
</Properties>
</file>