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298BA" w14:textId="2252FA66" w:rsidR="00743406" w:rsidRPr="0008777C" w:rsidRDefault="00743406" w:rsidP="00743406">
      <w:pPr>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Haarlem, </w:t>
      </w:r>
      <w:r w:rsidR="002A217C">
        <w:rPr>
          <w:rFonts w:ascii="Times New Roman" w:hAnsi="Times New Roman"/>
          <w:b/>
          <w:sz w:val="24"/>
        </w:rPr>
        <w:t>maart</w:t>
      </w:r>
      <w:r>
        <w:rPr>
          <w:rFonts w:ascii="Times New Roman" w:hAnsi="Times New Roman"/>
          <w:b/>
          <w:sz w:val="24"/>
        </w:rPr>
        <w:t xml:space="preserve"> 20</w:t>
      </w:r>
      <w:r w:rsidR="00F0060A">
        <w:rPr>
          <w:rFonts w:ascii="Times New Roman" w:hAnsi="Times New Roman"/>
          <w:b/>
          <w:sz w:val="24"/>
        </w:rPr>
        <w:t>2</w:t>
      </w:r>
      <w:r w:rsidR="00F66ECE">
        <w:rPr>
          <w:rFonts w:ascii="Times New Roman" w:hAnsi="Times New Roman"/>
          <w:b/>
          <w:sz w:val="24"/>
        </w:rPr>
        <w:t>1</w:t>
      </w:r>
    </w:p>
    <w:p w14:paraId="41BA03FE" w14:textId="77777777" w:rsidR="00743406" w:rsidRPr="00743406" w:rsidRDefault="00743406" w:rsidP="00743406">
      <w:pPr>
        <w:rPr>
          <w:rFonts w:cs="Arial"/>
          <w:sz w:val="22"/>
          <w:szCs w:val="22"/>
        </w:rPr>
      </w:pPr>
      <w:r w:rsidRPr="00743406">
        <w:rPr>
          <w:rFonts w:cs="Arial"/>
          <w:sz w:val="22"/>
          <w:szCs w:val="22"/>
        </w:rPr>
        <w:t>Geachte heer/mevrouw,</w:t>
      </w:r>
    </w:p>
    <w:p w14:paraId="1837FAD2" w14:textId="77777777" w:rsidR="00743406" w:rsidRPr="00743406" w:rsidRDefault="00743406" w:rsidP="00743406">
      <w:pPr>
        <w:rPr>
          <w:rFonts w:cs="Arial"/>
          <w:b/>
          <w:sz w:val="22"/>
          <w:szCs w:val="22"/>
        </w:rPr>
      </w:pPr>
    </w:p>
    <w:p w14:paraId="369E1212" w14:textId="77777777" w:rsidR="00743406" w:rsidRPr="00743406" w:rsidRDefault="00743406" w:rsidP="00743406">
      <w:pPr>
        <w:rPr>
          <w:rFonts w:cs="Arial"/>
          <w:sz w:val="22"/>
          <w:szCs w:val="22"/>
        </w:rPr>
      </w:pPr>
    </w:p>
    <w:p w14:paraId="4DD18A02" w14:textId="4F2D49CF" w:rsidR="00F66ECE" w:rsidRDefault="00102403" w:rsidP="00743406">
      <w:pPr>
        <w:rPr>
          <w:rFonts w:cs="Arial"/>
          <w:sz w:val="22"/>
          <w:szCs w:val="22"/>
        </w:rPr>
      </w:pPr>
      <w:r>
        <w:rPr>
          <w:rFonts w:cs="Arial"/>
          <w:sz w:val="22"/>
          <w:szCs w:val="22"/>
        </w:rPr>
        <w:t>Hierbij doe ik u de jaarrekening 20</w:t>
      </w:r>
      <w:r w:rsidR="00F66ECE">
        <w:rPr>
          <w:rFonts w:cs="Arial"/>
          <w:sz w:val="22"/>
          <w:szCs w:val="22"/>
        </w:rPr>
        <w:t>20</w:t>
      </w:r>
      <w:r>
        <w:rPr>
          <w:rFonts w:cs="Arial"/>
          <w:sz w:val="22"/>
          <w:szCs w:val="22"/>
        </w:rPr>
        <w:t xml:space="preserve"> van de Provinciale Afdeling CDA Noord-Holland toekomen</w:t>
      </w:r>
      <w:r w:rsidR="00743406" w:rsidRPr="00743406">
        <w:rPr>
          <w:rFonts w:cs="Arial"/>
          <w:sz w:val="22"/>
          <w:szCs w:val="22"/>
        </w:rPr>
        <w:t>.</w:t>
      </w:r>
      <w:r w:rsidR="00104D6D">
        <w:rPr>
          <w:rFonts w:cs="Arial"/>
          <w:sz w:val="22"/>
          <w:szCs w:val="22"/>
        </w:rPr>
        <w:t xml:space="preserve"> Bij zowel de inkomsten als de </w:t>
      </w:r>
      <w:r w:rsidR="00F66ECE">
        <w:rPr>
          <w:rFonts w:cs="Arial"/>
          <w:sz w:val="22"/>
          <w:szCs w:val="22"/>
        </w:rPr>
        <w:t>uitgaven</w:t>
      </w:r>
      <w:r w:rsidR="00104D6D">
        <w:rPr>
          <w:rFonts w:cs="Arial"/>
          <w:sz w:val="22"/>
          <w:szCs w:val="22"/>
        </w:rPr>
        <w:t xml:space="preserve"> wordt een toelichting gegeven.</w:t>
      </w:r>
      <w:r w:rsidR="003D5014">
        <w:rPr>
          <w:rFonts w:cs="Arial"/>
          <w:sz w:val="22"/>
          <w:szCs w:val="22"/>
        </w:rPr>
        <w:br/>
      </w:r>
    </w:p>
    <w:p w14:paraId="2450DBB9" w14:textId="2D5582B1" w:rsidR="00F66ECE" w:rsidRDefault="00F66ECE" w:rsidP="00743406">
      <w:pPr>
        <w:rPr>
          <w:rFonts w:cs="Arial"/>
          <w:sz w:val="22"/>
          <w:szCs w:val="22"/>
        </w:rPr>
      </w:pPr>
      <w:r>
        <w:rPr>
          <w:rFonts w:cs="Arial"/>
          <w:sz w:val="22"/>
          <w:szCs w:val="22"/>
        </w:rPr>
        <w:t>De jaarrekening laat een uitzonderlijk beeld zien. Een jaar waarin iedereen -  en daarmee ook het verenigingsleven - is getroffen door de gevolgen van de corona pandemie. Vanwege het feit dat veel activiteiten en de twee algemene ledenve</w:t>
      </w:r>
      <w:r w:rsidR="00D24990">
        <w:rPr>
          <w:rFonts w:cs="Arial"/>
          <w:sz w:val="22"/>
          <w:szCs w:val="22"/>
        </w:rPr>
        <w:t>r</w:t>
      </w:r>
      <w:r>
        <w:rPr>
          <w:rFonts w:cs="Arial"/>
          <w:sz w:val="22"/>
          <w:szCs w:val="22"/>
        </w:rPr>
        <w:t>gaderingen in fysieke vorm geen doorgang konden vinden heeft dit incidenteel tot behoorlijk minder uitgaven geleid. Het CDA Noord-Holland zat financieel niet ruim in zijn jasje</w:t>
      </w:r>
      <w:r w:rsidR="00D24990">
        <w:rPr>
          <w:rFonts w:cs="Arial"/>
          <w:sz w:val="22"/>
          <w:szCs w:val="22"/>
        </w:rPr>
        <w:t>.</w:t>
      </w:r>
      <w:r w:rsidR="00153E4A">
        <w:rPr>
          <w:rFonts w:cs="Arial"/>
          <w:sz w:val="22"/>
          <w:szCs w:val="22"/>
        </w:rPr>
        <w:t xml:space="preserve"> </w:t>
      </w:r>
      <w:r w:rsidR="00191F38">
        <w:rPr>
          <w:rFonts w:cs="Arial"/>
          <w:sz w:val="22"/>
          <w:szCs w:val="22"/>
        </w:rPr>
        <w:t>Feit dat</w:t>
      </w:r>
      <w:r w:rsidR="00153E4A">
        <w:rPr>
          <w:rFonts w:cs="Arial"/>
          <w:sz w:val="22"/>
          <w:szCs w:val="22"/>
        </w:rPr>
        <w:t xml:space="preserve"> onder de streep meer is overgebleven, is</w:t>
      </w:r>
      <w:r w:rsidR="00D24990">
        <w:rPr>
          <w:rFonts w:cs="Arial"/>
          <w:sz w:val="22"/>
          <w:szCs w:val="22"/>
        </w:rPr>
        <w:t xml:space="preserve"> geen overbodige luxe met het vooruitzicht van de gemeenteraads-, provinciale staten en waterschapsverkiezingen in de aankomende jaren.</w:t>
      </w:r>
    </w:p>
    <w:p w14:paraId="5A461F58" w14:textId="1463EA27" w:rsidR="00F66ECE" w:rsidRDefault="00F66ECE" w:rsidP="00743406">
      <w:pPr>
        <w:rPr>
          <w:rFonts w:cs="Arial"/>
          <w:sz w:val="22"/>
          <w:szCs w:val="22"/>
        </w:rPr>
      </w:pPr>
    </w:p>
    <w:p w14:paraId="581A8DDE" w14:textId="49F1FE67" w:rsidR="00153E4A" w:rsidRDefault="00153E4A" w:rsidP="00743406">
      <w:pPr>
        <w:rPr>
          <w:rFonts w:cs="Arial"/>
          <w:sz w:val="22"/>
          <w:szCs w:val="22"/>
        </w:rPr>
      </w:pPr>
      <w:r>
        <w:rPr>
          <w:rFonts w:cs="Arial"/>
          <w:sz w:val="22"/>
          <w:szCs w:val="22"/>
        </w:rPr>
        <w:t>De meer gedetailleerde toelichting per post treft u hieronder aan.</w:t>
      </w:r>
    </w:p>
    <w:p w14:paraId="4F2ED219" w14:textId="77777777" w:rsidR="00153E4A" w:rsidRDefault="00153E4A" w:rsidP="00743406">
      <w:pPr>
        <w:rPr>
          <w:rFonts w:cs="Arial"/>
          <w:sz w:val="22"/>
          <w:szCs w:val="22"/>
        </w:rPr>
      </w:pPr>
    </w:p>
    <w:p w14:paraId="472E54B6" w14:textId="567ED1DE" w:rsidR="00743406" w:rsidRDefault="00743406" w:rsidP="00743406">
      <w:pPr>
        <w:rPr>
          <w:rFonts w:cs="Arial"/>
          <w:sz w:val="22"/>
          <w:szCs w:val="22"/>
        </w:rPr>
      </w:pPr>
      <w:r w:rsidRPr="00743406">
        <w:rPr>
          <w:rFonts w:cs="Arial"/>
          <w:sz w:val="22"/>
          <w:szCs w:val="22"/>
        </w:rPr>
        <w:t>In de Algemene Bestuursvergadering van</w:t>
      </w:r>
      <w:r w:rsidR="000B0E53">
        <w:rPr>
          <w:rFonts w:cs="Arial"/>
          <w:sz w:val="22"/>
          <w:szCs w:val="22"/>
        </w:rPr>
        <w:t xml:space="preserve"> </w:t>
      </w:r>
      <w:r w:rsidR="00F66ECE" w:rsidRPr="00F66ECE">
        <w:rPr>
          <w:rFonts w:cs="Arial"/>
          <w:sz w:val="22"/>
          <w:szCs w:val="22"/>
          <w:highlight w:val="yellow"/>
        </w:rPr>
        <w:t>29 maart</w:t>
      </w:r>
      <w:r w:rsidR="00623F49" w:rsidRPr="00F66ECE">
        <w:rPr>
          <w:rFonts w:cs="Arial"/>
          <w:sz w:val="22"/>
          <w:szCs w:val="22"/>
          <w:highlight w:val="yellow"/>
        </w:rPr>
        <w:t xml:space="preserve"> 20</w:t>
      </w:r>
      <w:r w:rsidR="00F0060A" w:rsidRPr="00F66ECE">
        <w:rPr>
          <w:rFonts w:cs="Arial"/>
          <w:sz w:val="22"/>
          <w:szCs w:val="22"/>
          <w:highlight w:val="yellow"/>
        </w:rPr>
        <w:t>2</w:t>
      </w:r>
      <w:r w:rsidR="00F66ECE" w:rsidRPr="00F66ECE">
        <w:rPr>
          <w:rFonts w:cs="Arial"/>
          <w:sz w:val="22"/>
          <w:szCs w:val="22"/>
          <w:highlight w:val="yellow"/>
        </w:rPr>
        <w:t>1</w:t>
      </w:r>
      <w:r w:rsidRPr="00743406">
        <w:rPr>
          <w:rFonts w:cs="Arial"/>
          <w:sz w:val="22"/>
          <w:szCs w:val="22"/>
        </w:rPr>
        <w:t xml:space="preserve"> hebben de leden met de </w:t>
      </w:r>
      <w:r w:rsidR="00102403">
        <w:rPr>
          <w:rFonts w:cs="Arial"/>
          <w:sz w:val="22"/>
          <w:szCs w:val="22"/>
        </w:rPr>
        <w:t>jaarrekening</w:t>
      </w:r>
      <w:r w:rsidRPr="00743406">
        <w:rPr>
          <w:rFonts w:cs="Arial"/>
          <w:sz w:val="22"/>
          <w:szCs w:val="22"/>
        </w:rPr>
        <w:t xml:space="preserve"> 20</w:t>
      </w:r>
      <w:r w:rsidR="00F66ECE">
        <w:rPr>
          <w:rFonts w:cs="Arial"/>
          <w:sz w:val="22"/>
          <w:szCs w:val="22"/>
        </w:rPr>
        <w:t>20</w:t>
      </w:r>
      <w:r w:rsidR="003D5014">
        <w:rPr>
          <w:rFonts w:cs="Arial"/>
          <w:sz w:val="22"/>
          <w:szCs w:val="22"/>
        </w:rPr>
        <w:t xml:space="preserve"> </w:t>
      </w:r>
      <w:r w:rsidRPr="00743406">
        <w:rPr>
          <w:rFonts w:cs="Arial"/>
          <w:sz w:val="22"/>
          <w:szCs w:val="22"/>
        </w:rPr>
        <w:t>ingestemd.</w:t>
      </w:r>
    </w:p>
    <w:p w14:paraId="5774A71A" w14:textId="77777777" w:rsidR="00F43B22" w:rsidRDefault="00F43B22" w:rsidP="00743406">
      <w:pPr>
        <w:rPr>
          <w:rFonts w:cs="Arial"/>
          <w:sz w:val="22"/>
          <w:szCs w:val="22"/>
        </w:rPr>
      </w:pPr>
    </w:p>
    <w:p w14:paraId="313B7A3F" w14:textId="77777777" w:rsidR="00F43B22" w:rsidRDefault="00623F49" w:rsidP="00743406">
      <w:pPr>
        <w:rPr>
          <w:rFonts w:cs="Arial"/>
          <w:sz w:val="22"/>
          <w:szCs w:val="22"/>
        </w:rPr>
      </w:pPr>
      <w:r>
        <w:rPr>
          <w:rFonts w:cs="Arial"/>
          <w:sz w:val="22"/>
          <w:szCs w:val="22"/>
        </w:rPr>
        <w:t>Hartelijke</w:t>
      </w:r>
      <w:r w:rsidR="00F43B22">
        <w:rPr>
          <w:rFonts w:cs="Arial"/>
          <w:sz w:val="22"/>
          <w:szCs w:val="22"/>
        </w:rPr>
        <w:t xml:space="preserve"> groet,</w:t>
      </w:r>
    </w:p>
    <w:p w14:paraId="51CD88A5" w14:textId="77777777" w:rsidR="00F43B22" w:rsidRDefault="00F43B22" w:rsidP="00743406">
      <w:pPr>
        <w:rPr>
          <w:rFonts w:cs="Arial"/>
          <w:sz w:val="22"/>
          <w:szCs w:val="22"/>
        </w:rPr>
      </w:pPr>
    </w:p>
    <w:p w14:paraId="54FFFFE7" w14:textId="68CF7D7B" w:rsidR="00F43B22" w:rsidRDefault="00F66ECE" w:rsidP="00743406">
      <w:pPr>
        <w:rPr>
          <w:rFonts w:cs="Arial"/>
          <w:sz w:val="22"/>
          <w:szCs w:val="22"/>
        </w:rPr>
      </w:pPr>
      <w:r>
        <w:rPr>
          <w:rFonts w:cs="Arial"/>
          <w:sz w:val="22"/>
          <w:szCs w:val="22"/>
        </w:rPr>
        <w:t>Ciel Stevens-Meewis</w:t>
      </w:r>
    </w:p>
    <w:p w14:paraId="7C091236" w14:textId="5825DFF3" w:rsidR="00F43B22" w:rsidRDefault="00F66ECE" w:rsidP="00743406">
      <w:pPr>
        <w:rPr>
          <w:rFonts w:cs="Arial"/>
          <w:sz w:val="22"/>
          <w:szCs w:val="22"/>
        </w:rPr>
      </w:pPr>
      <w:r>
        <w:rPr>
          <w:rFonts w:cs="Arial"/>
          <w:sz w:val="22"/>
          <w:szCs w:val="22"/>
        </w:rPr>
        <w:t>Bestuurslid Financiën</w:t>
      </w:r>
      <w:r w:rsidR="00F43B22">
        <w:rPr>
          <w:rFonts w:cs="Arial"/>
          <w:sz w:val="22"/>
          <w:szCs w:val="22"/>
        </w:rPr>
        <w:t xml:space="preserve"> CDA Noord-Holland</w:t>
      </w:r>
    </w:p>
    <w:p w14:paraId="030CA4E5" w14:textId="77777777" w:rsidR="00F43B22" w:rsidRDefault="00F43B22" w:rsidP="00743406">
      <w:pPr>
        <w:rPr>
          <w:rFonts w:cs="Arial"/>
          <w:sz w:val="22"/>
          <w:szCs w:val="22"/>
        </w:rPr>
      </w:pPr>
    </w:p>
    <w:p w14:paraId="171EA1A9" w14:textId="77777777" w:rsidR="00102403" w:rsidRDefault="00102403">
      <w:pPr>
        <w:spacing w:after="200" w:line="276" w:lineRule="auto"/>
        <w:rPr>
          <w:rFonts w:cs="Arial"/>
          <w:sz w:val="22"/>
          <w:szCs w:val="22"/>
        </w:rPr>
      </w:pPr>
      <w:r>
        <w:rPr>
          <w:rFonts w:cs="Arial"/>
          <w:sz w:val="22"/>
          <w:szCs w:val="22"/>
        </w:rPr>
        <w:br w:type="page"/>
      </w:r>
    </w:p>
    <w:p w14:paraId="61BA480E" w14:textId="5A77D1F7" w:rsidR="00C34632" w:rsidRDefault="00C34632">
      <w:pPr>
        <w:spacing w:after="200" w:line="276" w:lineRule="auto"/>
        <w:rPr>
          <w:noProof/>
        </w:rPr>
      </w:pPr>
    </w:p>
    <w:p w14:paraId="21A44B65" w14:textId="142FE52F" w:rsidR="00C34632" w:rsidRDefault="009811BF">
      <w:pPr>
        <w:spacing w:after="200" w:line="276" w:lineRule="auto"/>
        <w:rPr>
          <w:noProof/>
        </w:rPr>
      </w:pPr>
      <w:r w:rsidRPr="009811BF">
        <w:drawing>
          <wp:inline distT="0" distB="0" distL="0" distR="0" wp14:anchorId="03C3D218" wp14:editId="55CB2313">
            <wp:extent cx="5760720" cy="58007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800725"/>
                    </a:xfrm>
                    <a:prstGeom prst="rect">
                      <a:avLst/>
                    </a:prstGeom>
                    <a:noFill/>
                    <a:ln>
                      <a:noFill/>
                    </a:ln>
                  </pic:spPr>
                </pic:pic>
              </a:graphicData>
            </a:graphic>
          </wp:inline>
        </w:drawing>
      </w:r>
    </w:p>
    <w:p w14:paraId="404C248D" w14:textId="77777777" w:rsidR="00C34632" w:rsidRDefault="00C34632">
      <w:pPr>
        <w:spacing w:after="200" w:line="276" w:lineRule="auto"/>
        <w:rPr>
          <w:noProof/>
        </w:rPr>
      </w:pPr>
    </w:p>
    <w:p w14:paraId="11309D0A" w14:textId="77777777" w:rsidR="00C34632" w:rsidRDefault="00C34632">
      <w:pPr>
        <w:spacing w:after="200" w:line="276" w:lineRule="auto"/>
        <w:rPr>
          <w:noProof/>
        </w:rPr>
      </w:pPr>
    </w:p>
    <w:p w14:paraId="0FD19C01" w14:textId="77777777" w:rsidR="00C34632" w:rsidRDefault="00C34632">
      <w:pPr>
        <w:spacing w:after="200" w:line="276" w:lineRule="auto"/>
        <w:rPr>
          <w:noProof/>
        </w:rPr>
      </w:pPr>
    </w:p>
    <w:p w14:paraId="674BD516" w14:textId="77777777" w:rsidR="00C34632" w:rsidRDefault="00C34632">
      <w:pPr>
        <w:spacing w:after="200" w:line="276" w:lineRule="auto"/>
        <w:rPr>
          <w:noProof/>
        </w:rPr>
      </w:pPr>
    </w:p>
    <w:p w14:paraId="0D2C9A48" w14:textId="1B867FFE" w:rsidR="00102403" w:rsidRDefault="00102403">
      <w:pPr>
        <w:spacing w:after="200" w:line="276" w:lineRule="auto"/>
        <w:rPr>
          <w:rFonts w:cs="Arial"/>
          <w:sz w:val="22"/>
          <w:szCs w:val="22"/>
        </w:rPr>
      </w:pPr>
    </w:p>
    <w:p w14:paraId="1934DF92" w14:textId="11E90373" w:rsidR="00743406" w:rsidRPr="00743406" w:rsidRDefault="007F61B9" w:rsidP="00C34632">
      <w:pPr>
        <w:spacing w:after="200" w:line="276" w:lineRule="auto"/>
        <w:rPr>
          <w:rFonts w:cs="Arial"/>
          <w:sz w:val="22"/>
          <w:szCs w:val="22"/>
        </w:rPr>
      </w:pPr>
      <w:r>
        <w:rPr>
          <w:rFonts w:cs="Arial"/>
          <w:sz w:val="22"/>
          <w:szCs w:val="22"/>
        </w:rPr>
        <w:br w:type="page"/>
      </w:r>
    </w:p>
    <w:p w14:paraId="1C71B005" w14:textId="21F4C8EE" w:rsidR="00743406" w:rsidRDefault="00743406" w:rsidP="004C3596">
      <w:pPr>
        <w:rPr>
          <w:rFonts w:cs="Arial"/>
          <w:b/>
          <w:color w:val="00B050"/>
          <w:sz w:val="22"/>
          <w:szCs w:val="22"/>
        </w:rPr>
      </w:pPr>
      <w:r w:rsidRPr="00104D6D">
        <w:rPr>
          <w:rFonts w:cs="Arial"/>
          <w:b/>
          <w:color w:val="00B050"/>
          <w:sz w:val="22"/>
          <w:szCs w:val="22"/>
        </w:rPr>
        <w:lastRenderedPageBreak/>
        <w:t>Inkomsten:</w:t>
      </w:r>
    </w:p>
    <w:p w14:paraId="46CD1EBD" w14:textId="189E055E" w:rsidR="009409C9" w:rsidRDefault="009409C9" w:rsidP="004C3596">
      <w:pPr>
        <w:rPr>
          <w:rFonts w:cs="Arial"/>
          <w:b/>
          <w:color w:val="00B050"/>
          <w:sz w:val="22"/>
          <w:szCs w:val="22"/>
        </w:rPr>
      </w:pPr>
    </w:p>
    <w:p w14:paraId="0CFB2F57" w14:textId="282B68FF" w:rsidR="00191F38" w:rsidRPr="00104D6D" w:rsidRDefault="002B5E97" w:rsidP="004C3596">
      <w:pPr>
        <w:rPr>
          <w:rFonts w:cs="Arial"/>
          <w:b/>
          <w:color w:val="00B050"/>
          <w:sz w:val="22"/>
          <w:szCs w:val="22"/>
        </w:rPr>
      </w:pPr>
      <w:r w:rsidRPr="002B5E97">
        <w:rPr>
          <w:noProof/>
        </w:rPr>
        <w:drawing>
          <wp:inline distT="0" distB="0" distL="0" distR="0" wp14:anchorId="29C49B62" wp14:editId="5BFA30B5">
            <wp:extent cx="5760720" cy="70993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09930"/>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567"/>
        <w:gridCol w:w="1495"/>
      </w:tblGrid>
      <w:tr w:rsidR="00104D6D" w:rsidRPr="00104D6D" w14:paraId="297BBFEB" w14:textId="77777777" w:rsidTr="009409C9">
        <w:tc>
          <w:tcPr>
            <w:tcW w:w="7567" w:type="dxa"/>
            <w:tcBorders>
              <w:bottom w:val="single" w:sz="4" w:space="0" w:color="000000" w:themeColor="text1"/>
            </w:tcBorders>
            <w:shd w:val="clear" w:color="auto" w:fill="000000" w:themeFill="text1"/>
          </w:tcPr>
          <w:p w14:paraId="507A8156" w14:textId="77777777" w:rsidR="00104D6D" w:rsidRPr="00104D6D" w:rsidRDefault="00104D6D" w:rsidP="003D5014">
            <w:pPr>
              <w:rPr>
                <w:rFonts w:cs="Arial"/>
                <w:b/>
                <w:color w:val="FFFFFF" w:themeColor="background1"/>
                <w:sz w:val="22"/>
                <w:szCs w:val="22"/>
              </w:rPr>
            </w:pPr>
            <w:r w:rsidRPr="00104D6D">
              <w:rPr>
                <w:rFonts w:cs="Arial"/>
                <w:b/>
                <w:color w:val="FFFFFF" w:themeColor="background1"/>
                <w:sz w:val="22"/>
                <w:szCs w:val="22"/>
              </w:rPr>
              <w:t xml:space="preserve">Bijdrage </w:t>
            </w:r>
            <w:r w:rsidR="003D5014">
              <w:rPr>
                <w:rFonts w:cs="Arial"/>
                <w:b/>
                <w:color w:val="FFFFFF" w:themeColor="background1"/>
                <w:sz w:val="22"/>
                <w:szCs w:val="22"/>
              </w:rPr>
              <w:t>LBR / Politieke vertegenwoordigers</w:t>
            </w:r>
          </w:p>
        </w:tc>
        <w:tc>
          <w:tcPr>
            <w:tcW w:w="1495" w:type="dxa"/>
            <w:tcBorders>
              <w:bottom w:val="single" w:sz="4" w:space="0" w:color="000000" w:themeColor="text1"/>
            </w:tcBorders>
            <w:shd w:val="clear" w:color="auto" w:fill="000000" w:themeFill="text1"/>
          </w:tcPr>
          <w:p w14:paraId="06C0B210" w14:textId="6D3AF0D6" w:rsidR="00104D6D" w:rsidRPr="00593043" w:rsidRDefault="00593043" w:rsidP="000064C4">
            <w:pPr>
              <w:jc w:val="right"/>
              <w:rPr>
                <w:rFonts w:cs="Arial"/>
                <w:b/>
                <w:sz w:val="22"/>
                <w:szCs w:val="22"/>
              </w:rPr>
            </w:pPr>
            <w:r w:rsidRPr="00743406">
              <w:rPr>
                <w:rFonts w:cs="Arial"/>
                <w:b/>
                <w:sz w:val="22"/>
                <w:szCs w:val="22"/>
              </w:rPr>
              <w:t xml:space="preserve">€   </w:t>
            </w:r>
            <w:r w:rsidR="002B5E97">
              <w:rPr>
                <w:rFonts w:cs="Arial"/>
                <w:b/>
                <w:sz w:val="22"/>
                <w:szCs w:val="22"/>
              </w:rPr>
              <w:t>8</w:t>
            </w:r>
            <w:r w:rsidRPr="00743406">
              <w:rPr>
                <w:rFonts w:cs="Arial"/>
                <w:b/>
                <w:sz w:val="22"/>
                <w:szCs w:val="22"/>
              </w:rPr>
              <w:t>.</w:t>
            </w:r>
            <w:r w:rsidR="002B5E97">
              <w:rPr>
                <w:rFonts w:cs="Arial"/>
                <w:b/>
                <w:sz w:val="22"/>
                <w:szCs w:val="22"/>
              </w:rPr>
              <w:t>4</w:t>
            </w:r>
            <w:r w:rsidR="009409C9">
              <w:rPr>
                <w:rFonts w:cs="Arial"/>
                <w:b/>
                <w:sz w:val="22"/>
                <w:szCs w:val="22"/>
              </w:rPr>
              <w:t>40</w:t>
            </w:r>
            <w:r w:rsidR="000E144C">
              <w:rPr>
                <w:rFonts w:cs="Arial"/>
                <w:b/>
                <w:sz w:val="22"/>
                <w:szCs w:val="22"/>
              </w:rPr>
              <w:t>,</w:t>
            </w:r>
            <w:r w:rsidR="009409C9">
              <w:rPr>
                <w:rFonts w:cs="Arial"/>
                <w:b/>
                <w:sz w:val="22"/>
                <w:szCs w:val="22"/>
              </w:rPr>
              <w:t>00</w:t>
            </w:r>
          </w:p>
        </w:tc>
      </w:tr>
      <w:tr w:rsidR="009409C9" w14:paraId="524EC9AF" w14:textId="77777777" w:rsidTr="00D60518">
        <w:trPr>
          <w:cantSplit/>
          <w:trHeight w:val="1134"/>
        </w:trPr>
        <w:tc>
          <w:tcPr>
            <w:tcW w:w="7567" w:type="dxa"/>
            <w:tcBorders>
              <w:right w:val="nil"/>
            </w:tcBorders>
          </w:tcPr>
          <w:p w14:paraId="1C4373D3" w14:textId="77777777" w:rsidR="00F23906" w:rsidRDefault="00F23906" w:rsidP="002A7548"/>
          <w:p w14:paraId="793808AA" w14:textId="1FE4815C" w:rsidR="009409C9" w:rsidRDefault="009409C9" w:rsidP="002A7548">
            <w:r>
              <w:t xml:space="preserve">In 2017 heeft het landelijk partijbestuur met een vertegenwoordiging van burgemeesters een bijdragereglement </w:t>
            </w:r>
            <w:r w:rsidR="00FB5151">
              <w:t>opgesteld</w:t>
            </w:r>
            <w:r>
              <w:t>.</w:t>
            </w:r>
            <w:r w:rsidR="00FB5151">
              <w:t xml:space="preserve"> Dit volgen wij.</w:t>
            </w:r>
            <w:r>
              <w:t xml:space="preserve">  </w:t>
            </w:r>
          </w:p>
          <w:p w14:paraId="75B14CC1" w14:textId="585025F3" w:rsidR="009409C9" w:rsidRDefault="002B5E97" w:rsidP="002A7548">
            <w:r>
              <w:t>Het overgrote deel van de</w:t>
            </w:r>
            <w:r w:rsidR="009409C9">
              <w:t xml:space="preserve"> Noord-Hollandse CDA burgemeesters hebben de LBR voldaan. </w:t>
            </w:r>
            <w:r w:rsidR="009409C9">
              <w:br/>
            </w:r>
          </w:p>
          <w:p w14:paraId="2DDA70A4" w14:textId="72081C89" w:rsidR="009409C9" w:rsidRDefault="009409C9" w:rsidP="002A7548">
            <w:r>
              <w:t xml:space="preserve">Bij de LBR voor de provinciale staten hebben alle politiek vertegenwoordigers betaald. De LBR voor provinciale staten gaat direct ten goede van het provinciaal verkiezingsfonds. Doordat het CDA in de oppositie zit is de bijdrage echter fors minder. </w:t>
            </w:r>
          </w:p>
          <w:p w14:paraId="57948BE4" w14:textId="4A2A40DA" w:rsidR="009409C9" w:rsidRDefault="009409C9" w:rsidP="00F0060A">
            <w:r>
              <w:br/>
              <w:t>Het CDA Noord-Holland levert geen dagelijks bestuurslid meer, zodat de inkomsten fors minder zijn. Daarnaast is</w:t>
            </w:r>
            <w:r w:rsidR="00FB5151">
              <w:t xml:space="preserve"> er geen</w:t>
            </w:r>
            <w:r>
              <w:t xml:space="preserve"> Noord-Hollandse vertegenwoordiging </w:t>
            </w:r>
            <w:r w:rsidR="00FB5151">
              <w:t>in</w:t>
            </w:r>
            <w:r>
              <w:t xml:space="preserve"> het </w:t>
            </w:r>
            <w:r w:rsidR="00FB5151">
              <w:t>Hoogheemraadschap van Rijnland meer.</w:t>
            </w:r>
            <w:r w:rsidR="00A559AA">
              <w:t xml:space="preserve"> De LBR voor waterschappen gaat direct ten goede van het verkiezingsfonds.</w:t>
            </w:r>
          </w:p>
          <w:p w14:paraId="5385EEF3" w14:textId="77777777" w:rsidR="009409C9" w:rsidRDefault="009409C9" w:rsidP="00104D6D">
            <w:pPr>
              <w:spacing w:line="360" w:lineRule="auto"/>
              <w:rPr>
                <w:rFonts w:cs="Arial"/>
                <w:b/>
                <w:sz w:val="22"/>
                <w:szCs w:val="22"/>
                <w:u w:val="single"/>
              </w:rPr>
            </w:pPr>
          </w:p>
        </w:tc>
        <w:tc>
          <w:tcPr>
            <w:tcW w:w="1495" w:type="dxa"/>
            <w:tcBorders>
              <w:left w:val="nil"/>
            </w:tcBorders>
          </w:tcPr>
          <w:p w14:paraId="542CB5FF" w14:textId="77777777" w:rsidR="009409C9" w:rsidRDefault="009409C9" w:rsidP="005359CD">
            <w:pPr>
              <w:jc w:val="right"/>
              <w:rPr>
                <w:rFonts w:cs="Arial"/>
                <w:b/>
                <w:sz w:val="22"/>
                <w:szCs w:val="22"/>
                <w:u w:val="single"/>
              </w:rPr>
            </w:pPr>
          </w:p>
        </w:tc>
      </w:tr>
      <w:tr w:rsidR="009409C9" w14:paraId="6608172D" w14:textId="77777777" w:rsidTr="00D60518">
        <w:tc>
          <w:tcPr>
            <w:tcW w:w="7567" w:type="dxa"/>
            <w:tcBorders>
              <w:right w:val="nil"/>
            </w:tcBorders>
          </w:tcPr>
          <w:p w14:paraId="4BAC8D18" w14:textId="77777777" w:rsidR="009409C9" w:rsidRPr="00BF4F6A" w:rsidRDefault="009409C9" w:rsidP="004248C9">
            <w:pPr>
              <w:rPr>
                <w:b/>
                <w:u w:val="single"/>
              </w:rPr>
            </w:pPr>
          </w:p>
        </w:tc>
        <w:tc>
          <w:tcPr>
            <w:tcW w:w="1495" w:type="dxa"/>
            <w:tcBorders>
              <w:left w:val="nil"/>
            </w:tcBorders>
          </w:tcPr>
          <w:p w14:paraId="35ADC269" w14:textId="77777777" w:rsidR="009409C9" w:rsidRDefault="009409C9" w:rsidP="00743406">
            <w:pPr>
              <w:rPr>
                <w:rFonts w:cs="Arial"/>
                <w:b/>
                <w:sz w:val="22"/>
                <w:szCs w:val="22"/>
                <w:u w:val="single"/>
              </w:rPr>
            </w:pPr>
          </w:p>
        </w:tc>
      </w:tr>
    </w:tbl>
    <w:p w14:paraId="5F6DFBCD" w14:textId="16B2454D" w:rsidR="00743406" w:rsidRDefault="00743406" w:rsidP="00743406">
      <w:pPr>
        <w:rPr>
          <w:rFonts w:cs="Arial"/>
          <w:sz w:val="22"/>
          <w:szCs w:val="22"/>
        </w:rPr>
      </w:pPr>
    </w:p>
    <w:p w14:paraId="501965D3" w14:textId="0D38E8B6" w:rsidR="00FB5151" w:rsidRDefault="00191F38" w:rsidP="00743406">
      <w:pPr>
        <w:rPr>
          <w:rFonts w:cs="Arial"/>
          <w:sz w:val="22"/>
          <w:szCs w:val="22"/>
        </w:rPr>
      </w:pPr>
      <w:r w:rsidRPr="00191F38">
        <w:rPr>
          <w:noProof/>
        </w:rPr>
        <w:drawing>
          <wp:inline distT="0" distB="0" distL="0" distR="0" wp14:anchorId="3B8E9983" wp14:editId="4D474663">
            <wp:extent cx="5760720" cy="15430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1E40CC34" w14:textId="090F94A1" w:rsidR="00191F38" w:rsidRDefault="002B5E97" w:rsidP="00743406">
      <w:r w:rsidRPr="002B5E97">
        <w:rPr>
          <w:noProof/>
        </w:rPr>
        <w:drawing>
          <wp:inline distT="0" distB="0" distL="0" distR="0" wp14:anchorId="639C9CC5" wp14:editId="5EF038DC">
            <wp:extent cx="5760720" cy="418465"/>
            <wp:effectExtent l="0" t="0" r="0" b="63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136EB589" w14:textId="77777777" w:rsidR="00191F38" w:rsidRPr="00191F38" w:rsidRDefault="00191F38" w:rsidP="00743406"/>
    <w:tbl>
      <w:tblPr>
        <w:tblStyle w:val="Tabelraster"/>
        <w:tblW w:w="0" w:type="auto"/>
        <w:tblLook w:val="04A0" w:firstRow="1" w:lastRow="0" w:firstColumn="1" w:lastColumn="0" w:noHBand="0" w:noVBand="1"/>
      </w:tblPr>
      <w:tblGrid>
        <w:gridCol w:w="7558"/>
        <w:gridCol w:w="1504"/>
      </w:tblGrid>
      <w:tr w:rsidR="003D5014" w:rsidRPr="00593043" w14:paraId="452882DB" w14:textId="77777777" w:rsidTr="00F23906">
        <w:tc>
          <w:tcPr>
            <w:tcW w:w="7558" w:type="dxa"/>
            <w:tcBorders>
              <w:bottom w:val="single" w:sz="4" w:space="0" w:color="000000" w:themeColor="text1"/>
            </w:tcBorders>
            <w:shd w:val="clear" w:color="auto" w:fill="000000" w:themeFill="text1"/>
          </w:tcPr>
          <w:p w14:paraId="1961DB3D" w14:textId="77777777" w:rsidR="003D5014" w:rsidRPr="00104D6D" w:rsidRDefault="003D5014" w:rsidP="008E58B0">
            <w:pPr>
              <w:rPr>
                <w:rFonts w:cs="Arial"/>
                <w:b/>
                <w:color w:val="FFFFFF" w:themeColor="background1"/>
                <w:sz w:val="22"/>
                <w:szCs w:val="22"/>
              </w:rPr>
            </w:pPr>
            <w:r w:rsidRPr="00104D6D">
              <w:rPr>
                <w:rFonts w:cs="Arial"/>
                <w:b/>
                <w:color w:val="FFFFFF" w:themeColor="background1"/>
                <w:sz w:val="22"/>
                <w:szCs w:val="22"/>
              </w:rPr>
              <w:t xml:space="preserve">Bijdrage </w:t>
            </w:r>
            <w:r w:rsidR="008E58B0">
              <w:rPr>
                <w:rFonts w:cs="Arial"/>
                <w:b/>
                <w:color w:val="FFFFFF" w:themeColor="background1"/>
                <w:sz w:val="22"/>
                <w:szCs w:val="22"/>
              </w:rPr>
              <w:t>leden</w:t>
            </w:r>
          </w:p>
        </w:tc>
        <w:tc>
          <w:tcPr>
            <w:tcW w:w="1504" w:type="dxa"/>
            <w:tcBorders>
              <w:bottom w:val="single" w:sz="4" w:space="0" w:color="000000" w:themeColor="text1"/>
            </w:tcBorders>
            <w:shd w:val="clear" w:color="auto" w:fill="000000" w:themeFill="text1"/>
          </w:tcPr>
          <w:p w14:paraId="5A247EFC" w14:textId="58B8D554" w:rsidR="003D5014" w:rsidRPr="00593043" w:rsidRDefault="003D5014" w:rsidP="0056718D">
            <w:pPr>
              <w:rPr>
                <w:rFonts w:cs="Arial"/>
                <w:b/>
                <w:sz w:val="22"/>
                <w:szCs w:val="22"/>
              </w:rPr>
            </w:pPr>
            <w:r w:rsidRPr="00743406">
              <w:rPr>
                <w:rFonts w:cs="Arial"/>
                <w:b/>
                <w:sz w:val="22"/>
                <w:szCs w:val="22"/>
              </w:rPr>
              <w:t xml:space="preserve">€   </w:t>
            </w:r>
            <w:r w:rsidR="00483DF9">
              <w:rPr>
                <w:rFonts w:cs="Arial"/>
                <w:b/>
                <w:sz w:val="22"/>
                <w:szCs w:val="22"/>
              </w:rPr>
              <w:t>5</w:t>
            </w:r>
            <w:r w:rsidR="002B5E97">
              <w:rPr>
                <w:rFonts w:cs="Arial"/>
                <w:b/>
                <w:sz w:val="22"/>
                <w:szCs w:val="22"/>
              </w:rPr>
              <w:t>5</w:t>
            </w:r>
            <w:r w:rsidRPr="00743406">
              <w:rPr>
                <w:rFonts w:cs="Arial"/>
                <w:b/>
                <w:sz w:val="22"/>
                <w:szCs w:val="22"/>
              </w:rPr>
              <w:t>.</w:t>
            </w:r>
            <w:r w:rsidR="002B5E97">
              <w:rPr>
                <w:rFonts w:cs="Arial"/>
                <w:b/>
                <w:sz w:val="22"/>
                <w:szCs w:val="22"/>
              </w:rPr>
              <w:t>1</w:t>
            </w:r>
            <w:r w:rsidR="00F23906">
              <w:rPr>
                <w:rFonts w:cs="Arial"/>
                <w:b/>
                <w:sz w:val="22"/>
                <w:szCs w:val="22"/>
              </w:rPr>
              <w:t>22</w:t>
            </w:r>
            <w:r>
              <w:rPr>
                <w:rFonts w:cs="Arial"/>
                <w:b/>
                <w:sz w:val="22"/>
                <w:szCs w:val="22"/>
              </w:rPr>
              <w:t>,</w:t>
            </w:r>
            <w:r w:rsidR="002B5E97">
              <w:rPr>
                <w:rFonts w:cs="Arial"/>
                <w:b/>
                <w:sz w:val="22"/>
                <w:szCs w:val="22"/>
              </w:rPr>
              <w:t>98</w:t>
            </w:r>
          </w:p>
        </w:tc>
      </w:tr>
      <w:tr w:rsidR="00F23906" w14:paraId="277DDF1E" w14:textId="77777777" w:rsidTr="0032099F">
        <w:trPr>
          <w:cantSplit/>
          <w:trHeight w:val="1134"/>
        </w:trPr>
        <w:tc>
          <w:tcPr>
            <w:tcW w:w="7558" w:type="dxa"/>
            <w:tcBorders>
              <w:right w:val="nil"/>
            </w:tcBorders>
          </w:tcPr>
          <w:p w14:paraId="3F54B6A6" w14:textId="55E7BB8C" w:rsidR="00F23906" w:rsidRPr="00BF4F6A" w:rsidRDefault="00F23906" w:rsidP="00A826BC">
            <w:pPr>
              <w:rPr>
                <w:b/>
                <w:u w:val="single"/>
              </w:rPr>
            </w:pPr>
            <w:r w:rsidRPr="000E144C">
              <w:t xml:space="preserve">De afrekening van de contributieopbrengst is gebaseerd op vanuit CDA </w:t>
            </w:r>
            <w:r>
              <w:t>D</w:t>
            </w:r>
            <w:r w:rsidRPr="000E144C">
              <w:t>en Haag ontvangen afrekening per ultimo 31 december 20</w:t>
            </w:r>
            <w:r>
              <w:t>20</w:t>
            </w:r>
            <w:r w:rsidRPr="000E144C">
              <w:t>.</w:t>
            </w:r>
            <w:r>
              <w:br/>
            </w:r>
          </w:p>
          <w:p w14:paraId="2FEFD273" w14:textId="4C4B7A22" w:rsidR="00F23906" w:rsidRDefault="00F23906" w:rsidP="009D4DA1">
            <w:r>
              <w:t xml:space="preserve">Het percentage betalende leden is voor Noord-Holland rond de </w:t>
            </w:r>
            <w:r w:rsidR="00301666">
              <w:t>81</w:t>
            </w:r>
            <w:r>
              <w:t>%</w:t>
            </w:r>
            <w:r w:rsidR="00301666">
              <w:t xml:space="preserve"> (dit lijkt een verhoging </w:t>
            </w:r>
            <w:r w:rsidR="00A559AA">
              <w:t>t.o.v.</w:t>
            </w:r>
            <w:r w:rsidR="00301666">
              <w:t xml:space="preserve"> eerdere jaren, maar we zien een absoluut aantal dalende leden, waarbij </w:t>
            </w:r>
            <w:r w:rsidR="00A559AA">
              <w:t>het absolute aantal</w:t>
            </w:r>
            <w:r w:rsidR="00301666">
              <w:t xml:space="preserve"> </w:t>
            </w:r>
            <w:r w:rsidR="00A559AA">
              <w:t xml:space="preserve">betalende </w:t>
            </w:r>
            <w:r w:rsidR="00301666">
              <w:t>trouwe leden</w:t>
            </w:r>
            <w:r w:rsidR="00A559AA">
              <w:t xml:space="preserve"> nagenoeg stabiel blijft</w:t>
            </w:r>
            <w:r w:rsidR="00301666">
              <w:t>)</w:t>
            </w:r>
            <w:r>
              <w:t>.</w:t>
            </w:r>
          </w:p>
          <w:p w14:paraId="321B68C4" w14:textId="608EFC2C" w:rsidR="00F23906" w:rsidRDefault="00F23906" w:rsidP="009D4DA1"/>
          <w:p w14:paraId="686CFD12" w14:textId="2357800C" w:rsidR="00F23906" w:rsidRPr="0056718D" w:rsidRDefault="00F23906" w:rsidP="009D4DA1">
            <w:r>
              <w:t>De verrekening van de Motie Jetten gelden is dit jaar naar de provincies toegekomen</w:t>
            </w:r>
            <w:r w:rsidR="00301666">
              <w:t xml:space="preserve"> via de Projectenpot Nieuwe Stijl</w:t>
            </w:r>
            <w:r>
              <w:t>. Dan was ten tijde van het opstellen van de begroting 2020 nog niet duidelijk.</w:t>
            </w:r>
            <w:r w:rsidR="00301666">
              <w:t xml:space="preserve"> Overigens zou de uitkering hiervan via </w:t>
            </w:r>
            <w:r w:rsidR="00A559AA">
              <w:t>project</w:t>
            </w:r>
            <w:r w:rsidR="00301666">
              <w:t xml:space="preserve">aanvragen door provinciale en gemeentelijke afdelingen plaatsvinden. </w:t>
            </w:r>
            <w:r w:rsidR="00A559AA">
              <w:t>Vanwege</w:t>
            </w:r>
            <w:r w:rsidR="00301666">
              <w:t xml:space="preserve"> corona is door het landelijk bestuur besloten dit</w:t>
            </w:r>
            <w:r w:rsidR="00A256D1">
              <w:t xml:space="preserve"> eenmalig</w:t>
            </w:r>
            <w:r w:rsidR="00301666">
              <w:t xml:space="preserve"> lumpsum toe te kennen over 2020.</w:t>
            </w:r>
          </w:p>
          <w:p w14:paraId="16D05AC6" w14:textId="77777777" w:rsidR="00F23906" w:rsidRDefault="00F23906" w:rsidP="009D4DA1">
            <w:pPr>
              <w:spacing w:line="360" w:lineRule="auto"/>
              <w:rPr>
                <w:rFonts w:cs="Arial"/>
                <w:b/>
                <w:sz w:val="22"/>
                <w:szCs w:val="22"/>
                <w:u w:val="single"/>
              </w:rPr>
            </w:pPr>
          </w:p>
        </w:tc>
        <w:tc>
          <w:tcPr>
            <w:tcW w:w="1504" w:type="dxa"/>
            <w:tcBorders>
              <w:left w:val="nil"/>
            </w:tcBorders>
          </w:tcPr>
          <w:p w14:paraId="52371DC5" w14:textId="77777777" w:rsidR="00F23906" w:rsidRDefault="00F23906" w:rsidP="009D4DA1">
            <w:pPr>
              <w:jc w:val="right"/>
              <w:rPr>
                <w:rFonts w:cs="Arial"/>
                <w:b/>
                <w:sz w:val="22"/>
                <w:szCs w:val="22"/>
                <w:u w:val="single"/>
              </w:rPr>
            </w:pPr>
          </w:p>
        </w:tc>
      </w:tr>
      <w:tr w:rsidR="00F23906" w14:paraId="30C014E3" w14:textId="77777777" w:rsidTr="0032099F">
        <w:tc>
          <w:tcPr>
            <w:tcW w:w="7558" w:type="dxa"/>
            <w:tcBorders>
              <w:right w:val="nil"/>
            </w:tcBorders>
          </w:tcPr>
          <w:p w14:paraId="4DF52C7D" w14:textId="77777777" w:rsidR="00F23906" w:rsidRPr="00BF4F6A" w:rsidRDefault="00F23906" w:rsidP="009D4DA1">
            <w:pPr>
              <w:rPr>
                <w:b/>
                <w:u w:val="single"/>
              </w:rPr>
            </w:pPr>
          </w:p>
        </w:tc>
        <w:tc>
          <w:tcPr>
            <w:tcW w:w="1504" w:type="dxa"/>
            <w:tcBorders>
              <w:left w:val="nil"/>
            </w:tcBorders>
          </w:tcPr>
          <w:p w14:paraId="51B891D9" w14:textId="77777777" w:rsidR="00F23906" w:rsidRDefault="00F23906" w:rsidP="009D4DA1">
            <w:pPr>
              <w:rPr>
                <w:rFonts w:cs="Arial"/>
                <w:b/>
                <w:sz w:val="22"/>
                <w:szCs w:val="22"/>
                <w:u w:val="single"/>
              </w:rPr>
            </w:pPr>
          </w:p>
        </w:tc>
      </w:tr>
    </w:tbl>
    <w:p w14:paraId="53EE2740" w14:textId="6EEFD2CD" w:rsidR="003D5014" w:rsidRDefault="003D5014" w:rsidP="00743406">
      <w:pPr>
        <w:rPr>
          <w:rFonts w:cs="Arial"/>
          <w:sz w:val="22"/>
          <w:szCs w:val="22"/>
        </w:rPr>
      </w:pPr>
    </w:p>
    <w:p w14:paraId="0176F917" w14:textId="09E552FB" w:rsidR="00191F38" w:rsidRDefault="00191F38" w:rsidP="00743406">
      <w:pPr>
        <w:rPr>
          <w:rFonts w:cs="Arial"/>
          <w:sz w:val="22"/>
          <w:szCs w:val="22"/>
        </w:rPr>
      </w:pPr>
      <w:r w:rsidRPr="00191F38">
        <w:rPr>
          <w:noProof/>
        </w:rPr>
        <w:drawing>
          <wp:inline distT="0" distB="0" distL="0" distR="0" wp14:anchorId="23B3A01F" wp14:editId="7D2D760A">
            <wp:extent cx="5760720" cy="15430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07CF92B2" w14:textId="6914DAE5" w:rsidR="008D0475" w:rsidRPr="00191F38" w:rsidRDefault="00191F38" w:rsidP="00743406">
      <w:r w:rsidRPr="00191F38">
        <w:rPr>
          <w:noProof/>
        </w:rPr>
        <w:drawing>
          <wp:inline distT="0" distB="0" distL="0" distR="0" wp14:anchorId="73CCA652" wp14:editId="7137145B">
            <wp:extent cx="5760720" cy="418465"/>
            <wp:effectExtent l="0" t="0" r="0" b="63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562"/>
        <w:gridCol w:w="1500"/>
      </w:tblGrid>
      <w:tr w:rsidR="00621006" w:rsidRPr="00593043" w14:paraId="4C978495" w14:textId="77777777" w:rsidTr="008D0475">
        <w:tc>
          <w:tcPr>
            <w:tcW w:w="7562" w:type="dxa"/>
            <w:tcBorders>
              <w:bottom w:val="single" w:sz="4" w:space="0" w:color="000000" w:themeColor="text1"/>
            </w:tcBorders>
            <w:shd w:val="clear" w:color="auto" w:fill="000000" w:themeFill="text1"/>
          </w:tcPr>
          <w:p w14:paraId="72649378" w14:textId="77777777" w:rsidR="00621006" w:rsidRPr="00104D6D" w:rsidRDefault="00621006" w:rsidP="009D4DA1">
            <w:pPr>
              <w:rPr>
                <w:rFonts w:cs="Arial"/>
                <w:b/>
                <w:color w:val="FFFFFF" w:themeColor="background1"/>
                <w:sz w:val="22"/>
                <w:szCs w:val="22"/>
              </w:rPr>
            </w:pPr>
            <w:r w:rsidRPr="00104D6D">
              <w:rPr>
                <w:rFonts w:cs="Arial"/>
                <w:b/>
                <w:color w:val="FFFFFF" w:themeColor="background1"/>
                <w:sz w:val="22"/>
                <w:szCs w:val="22"/>
              </w:rPr>
              <w:t xml:space="preserve">Bijdrage </w:t>
            </w:r>
            <w:r>
              <w:rPr>
                <w:rFonts w:cs="Arial"/>
                <w:b/>
                <w:color w:val="FFFFFF" w:themeColor="background1"/>
                <w:sz w:val="22"/>
                <w:szCs w:val="22"/>
              </w:rPr>
              <w:t>derden</w:t>
            </w:r>
          </w:p>
        </w:tc>
        <w:tc>
          <w:tcPr>
            <w:tcW w:w="1500" w:type="dxa"/>
            <w:tcBorders>
              <w:bottom w:val="single" w:sz="4" w:space="0" w:color="000000" w:themeColor="text1"/>
            </w:tcBorders>
            <w:shd w:val="clear" w:color="auto" w:fill="000000" w:themeFill="text1"/>
          </w:tcPr>
          <w:p w14:paraId="177A5EE7" w14:textId="5E0B2D1D" w:rsidR="00621006" w:rsidRPr="00593043" w:rsidRDefault="00621006" w:rsidP="00621006">
            <w:pPr>
              <w:jc w:val="right"/>
              <w:rPr>
                <w:rFonts w:cs="Arial"/>
                <w:b/>
                <w:sz w:val="22"/>
                <w:szCs w:val="22"/>
              </w:rPr>
            </w:pPr>
            <w:r w:rsidRPr="00743406">
              <w:rPr>
                <w:rFonts w:cs="Arial"/>
                <w:b/>
                <w:sz w:val="22"/>
                <w:szCs w:val="22"/>
              </w:rPr>
              <w:t xml:space="preserve">€   </w:t>
            </w:r>
            <w:r w:rsidR="008D0475">
              <w:rPr>
                <w:rFonts w:cs="Arial"/>
                <w:b/>
                <w:sz w:val="22"/>
                <w:szCs w:val="22"/>
              </w:rPr>
              <w:t>9</w:t>
            </w:r>
            <w:r w:rsidRPr="00743406">
              <w:rPr>
                <w:rFonts w:cs="Arial"/>
                <w:b/>
                <w:sz w:val="22"/>
                <w:szCs w:val="22"/>
              </w:rPr>
              <w:t>.</w:t>
            </w:r>
            <w:r w:rsidR="008D0475">
              <w:rPr>
                <w:rFonts w:cs="Arial"/>
                <w:b/>
                <w:sz w:val="22"/>
                <w:szCs w:val="22"/>
              </w:rPr>
              <w:t>845</w:t>
            </w:r>
            <w:r>
              <w:rPr>
                <w:rFonts w:cs="Arial"/>
                <w:b/>
                <w:sz w:val="22"/>
                <w:szCs w:val="22"/>
              </w:rPr>
              <w:t>,</w:t>
            </w:r>
            <w:r w:rsidR="008D0475">
              <w:rPr>
                <w:rFonts w:cs="Arial"/>
                <w:b/>
                <w:sz w:val="22"/>
                <w:szCs w:val="22"/>
              </w:rPr>
              <w:t>5</w:t>
            </w:r>
            <w:r>
              <w:rPr>
                <w:rFonts w:cs="Arial"/>
                <w:b/>
                <w:sz w:val="22"/>
                <w:szCs w:val="22"/>
              </w:rPr>
              <w:t>0</w:t>
            </w:r>
          </w:p>
        </w:tc>
      </w:tr>
      <w:tr w:rsidR="00621006" w14:paraId="6310B065" w14:textId="77777777" w:rsidTr="008D0475">
        <w:tc>
          <w:tcPr>
            <w:tcW w:w="7562" w:type="dxa"/>
            <w:tcBorders>
              <w:right w:val="nil"/>
            </w:tcBorders>
          </w:tcPr>
          <w:p w14:paraId="0B42A2C8" w14:textId="77777777" w:rsidR="008D0475" w:rsidRDefault="00621006" w:rsidP="0056718D">
            <w:r>
              <w:t>De bijdrage vanuit BSV was voor 20</w:t>
            </w:r>
            <w:r w:rsidR="008D0475">
              <w:t>20 nihil omdat de activiteiten geen doorgang konden vinden. Dit zal in 2021 weer opgepakt worden.</w:t>
            </w:r>
          </w:p>
          <w:p w14:paraId="35E31994" w14:textId="77777777" w:rsidR="008D0475" w:rsidRDefault="008D0475" w:rsidP="0056718D"/>
          <w:p w14:paraId="0DD76A03" w14:textId="508FB6F8" w:rsidR="00621006" w:rsidRPr="00BF4F6A" w:rsidRDefault="008D0475" w:rsidP="0056718D">
            <w:pPr>
              <w:rPr>
                <w:b/>
                <w:u w:val="single"/>
              </w:rPr>
            </w:pPr>
            <w:r>
              <w:t xml:space="preserve">Voor de eerste maal is nu ook de post fondsenwerving opgenomen. Het bedrag van de begroting is nagenoeg gehaald. </w:t>
            </w:r>
            <w:r w:rsidR="00621006">
              <w:t xml:space="preserve"> </w:t>
            </w:r>
          </w:p>
        </w:tc>
        <w:tc>
          <w:tcPr>
            <w:tcW w:w="1500" w:type="dxa"/>
            <w:tcBorders>
              <w:left w:val="nil"/>
            </w:tcBorders>
          </w:tcPr>
          <w:p w14:paraId="1C0ABD66" w14:textId="77777777" w:rsidR="00621006" w:rsidRDefault="00621006" w:rsidP="009D4DA1">
            <w:pPr>
              <w:rPr>
                <w:rFonts w:cs="Arial"/>
                <w:b/>
                <w:sz w:val="22"/>
                <w:szCs w:val="22"/>
                <w:u w:val="single"/>
              </w:rPr>
            </w:pPr>
          </w:p>
        </w:tc>
      </w:tr>
    </w:tbl>
    <w:p w14:paraId="124BF154" w14:textId="7DA6F870" w:rsidR="003D5014" w:rsidRDefault="003D5014" w:rsidP="00743406">
      <w:pPr>
        <w:rPr>
          <w:rFonts w:cs="Arial"/>
          <w:sz w:val="22"/>
          <w:szCs w:val="22"/>
        </w:rPr>
      </w:pPr>
    </w:p>
    <w:p w14:paraId="0995DA73" w14:textId="068E188B" w:rsidR="0088042D" w:rsidRDefault="0088042D" w:rsidP="00743406">
      <w:pPr>
        <w:rPr>
          <w:rFonts w:cs="Arial"/>
          <w:sz w:val="22"/>
          <w:szCs w:val="22"/>
        </w:rPr>
      </w:pPr>
    </w:p>
    <w:p w14:paraId="776E5FD5" w14:textId="605F55EE" w:rsidR="00191F38" w:rsidRDefault="00191F38" w:rsidP="00743406"/>
    <w:p w14:paraId="2B067377" w14:textId="7D213F98" w:rsidR="00191F38" w:rsidRDefault="00191F38" w:rsidP="00743406">
      <w:r w:rsidRPr="00191F38">
        <w:rPr>
          <w:noProof/>
        </w:rPr>
        <w:drawing>
          <wp:inline distT="0" distB="0" distL="0" distR="0" wp14:anchorId="2316DB19" wp14:editId="10C55381">
            <wp:extent cx="5760720" cy="154305"/>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7B901B6D" w14:textId="541652AB" w:rsidR="00191F38" w:rsidRPr="00191F38" w:rsidRDefault="00191F38" w:rsidP="00743406">
      <w:r w:rsidRPr="00191F38">
        <w:rPr>
          <w:noProof/>
        </w:rPr>
        <w:drawing>
          <wp:inline distT="0" distB="0" distL="0" distR="0" wp14:anchorId="405D56B3" wp14:editId="310760F6">
            <wp:extent cx="5760720" cy="264160"/>
            <wp:effectExtent l="0" t="0" r="0" b="254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64160"/>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713"/>
        <w:gridCol w:w="139"/>
        <w:gridCol w:w="1210"/>
      </w:tblGrid>
      <w:tr w:rsidR="00104D6D" w:rsidRPr="00104D6D" w14:paraId="299F273C" w14:textId="77777777" w:rsidTr="00501609">
        <w:tc>
          <w:tcPr>
            <w:tcW w:w="7713" w:type="dxa"/>
            <w:tcBorders>
              <w:bottom w:val="single" w:sz="4" w:space="0" w:color="000000" w:themeColor="text1"/>
            </w:tcBorders>
            <w:shd w:val="clear" w:color="auto" w:fill="000000" w:themeFill="text1"/>
          </w:tcPr>
          <w:p w14:paraId="0675E6CE" w14:textId="77777777" w:rsidR="00104D6D" w:rsidRPr="00104D6D" w:rsidRDefault="00BF4F6A" w:rsidP="005936D5">
            <w:pPr>
              <w:rPr>
                <w:rFonts w:cs="Arial"/>
                <w:b/>
                <w:color w:val="FFFFFF" w:themeColor="background1"/>
                <w:sz w:val="22"/>
                <w:szCs w:val="22"/>
              </w:rPr>
            </w:pPr>
            <w:r>
              <w:rPr>
                <w:rFonts w:cs="Arial"/>
                <w:b/>
                <w:color w:val="FFFFFF" w:themeColor="background1"/>
                <w:sz w:val="22"/>
                <w:szCs w:val="22"/>
              </w:rPr>
              <w:t>Overige baten</w:t>
            </w:r>
          </w:p>
        </w:tc>
        <w:tc>
          <w:tcPr>
            <w:tcW w:w="1349" w:type="dxa"/>
            <w:gridSpan w:val="2"/>
            <w:tcBorders>
              <w:bottom w:val="single" w:sz="4" w:space="0" w:color="000000" w:themeColor="text1"/>
            </w:tcBorders>
            <w:shd w:val="clear" w:color="auto" w:fill="000000" w:themeFill="text1"/>
          </w:tcPr>
          <w:p w14:paraId="742424A8" w14:textId="02D445FF" w:rsidR="00104D6D" w:rsidRPr="00104D6D" w:rsidRDefault="00C80439" w:rsidP="000064C4">
            <w:pPr>
              <w:rPr>
                <w:rFonts w:cs="Arial"/>
                <w:b/>
                <w:color w:val="FFFFFF" w:themeColor="background1"/>
                <w:sz w:val="22"/>
                <w:szCs w:val="22"/>
              </w:rPr>
            </w:pPr>
            <w:r>
              <w:rPr>
                <w:rFonts w:cs="Arial"/>
                <w:b/>
                <w:sz w:val="22"/>
                <w:szCs w:val="22"/>
              </w:rPr>
              <w:t>€</w:t>
            </w:r>
            <w:r w:rsidR="00BF4F6A">
              <w:rPr>
                <w:rFonts w:cs="Arial"/>
                <w:b/>
                <w:sz w:val="22"/>
                <w:szCs w:val="22"/>
              </w:rPr>
              <w:t xml:space="preserve"> </w:t>
            </w:r>
            <w:r w:rsidR="0010170C">
              <w:rPr>
                <w:rFonts w:cs="Arial"/>
                <w:b/>
                <w:sz w:val="22"/>
                <w:szCs w:val="22"/>
              </w:rPr>
              <w:t xml:space="preserve">     </w:t>
            </w:r>
            <w:r w:rsidR="00483DF9">
              <w:rPr>
                <w:rFonts w:cs="Arial"/>
                <w:b/>
                <w:sz w:val="22"/>
                <w:szCs w:val="22"/>
              </w:rPr>
              <w:t xml:space="preserve">   </w:t>
            </w:r>
            <w:r w:rsidR="00501609">
              <w:rPr>
                <w:rFonts w:cs="Arial"/>
                <w:b/>
                <w:sz w:val="22"/>
                <w:szCs w:val="22"/>
              </w:rPr>
              <w:t>2</w:t>
            </w:r>
            <w:r w:rsidR="000E144C">
              <w:rPr>
                <w:rFonts w:cs="Arial"/>
                <w:b/>
                <w:sz w:val="22"/>
                <w:szCs w:val="22"/>
              </w:rPr>
              <w:t>,</w:t>
            </w:r>
            <w:r w:rsidR="00483DF9">
              <w:rPr>
                <w:rFonts w:cs="Arial"/>
                <w:b/>
                <w:sz w:val="22"/>
                <w:szCs w:val="22"/>
              </w:rPr>
              <w:t>0</w:t>
            </w:r>
            <w:r w:rsidR="00501609">
              <w:rPr>
                <w:rFonts w:cs="Arial"/>
                <w:b/>
                <w:sz w:val="22"/>
                <w:szCs w:val="22"/>
              </w:rPr>
              <w:t>2</w:t>
            </w:r>
          </w:p>
        </w:tc>
      </w:tr>
      <w:tr w:rsidR="00501609" w14:paraId="5F17E889" w14:textId="77777777" w:rsidTr="001916D7">
        <w:tc>
          <w:tcPr>
            <w:tcW w:w="7852" w:type="dxa"/>
            <w:gridSpan w:val="2"/>
            <w:tcBorders>
              <w:right w:val="nil"/>
            </w:tcBorders>
          </w:tcPr>
          <w:p w14:paraId="11740DD9" w14:textId="0C45F259" w:rsidR="00501609" w:rsidRPr="00C80439" w:rsidRDefault="00501609" w:rsidP="000064C4">
            <w:r w:rsidRPr="00C80439">
              <w:t>D</w:t>
            </w:r>
            <w:r>
              <w:t>oor de</w:t>
            </w:r>
            <w:r w:rsidRPr="00C80439">
              <w:t xml:space="preserve"> </w:t>
            </w:r>
            <w:r>
              <w:t>lage rentestand is dit bedrag verwaarloosbaar.</w:t>
            </w:r>
          </w:p>
          <w:p w14:paraId="16550901" w14:textId="77777777" w:rsidR="00501609" w:rsidRDefault="00501609" w:rsidP="00C07A03">
            <w:pPr>
              <w:rPr>
                <w:rFonts w:cs="Arial"/>
                <w:b/>
                <w:sz w:val="22"/>
                <w:szCs w:val="22"/>
                <w:u w:val="single"/>
              </w:rPr>
            </w:pPr>
          </w:p>
        </w:tc>
        <w:tc>
          <w:tcPr>
            <w:tcW w:w="1210" w:type="dxa"/>
            <w:tcBorders>
              <w:left w:val="nil"/>
            </w:tcBorders>
          </w:tcPr>
          <w:p w14:paraId="57472309" w14:textId="77777777" w:rsidR="00501609" w:rsidRDefault="00501609" w:rsidP="005359CD">
            <w:pPr>
              <w:jc w:val="right"/>
              <w:rPr>
                <w:rFonts w:cs="Arial"/>
                <w:b/>
                <w:sz w:val="22"/>
                <w:szCs w:val="22"/>
                <w:u w:val="single"/>
              </w:rPr>
            </w:pPr>
          </w:p>
        </w:tc>
      </w:tr>
      <w:tr w:rsidR="00501609" w14:paraId="485A08CF" w14:textId="77777777" w:rsidTr="001916D7">
        <w:tc>
          <w:tcPr>
            <w:tcW w:w="7852" w:type="dxa"/>
            <w:gridSpan w:val="2"/>
            <w:tcBorders>
              <w:right w:val="nil"/>
            </w:tcBorders>
          </w:tcPr>
          <w:p w14:paraId="528F5927" w14:textId="77777777" w:rsidR="00501609" w:rsidRPr="0017213B" w:rsidRDefault="00501609" w:rsidP="00C80439">
            <w:pPr>
              <w:rPr>
                <w:sz w:val="18"/>
                <w:szCs w:val="18"/>
              </w:rPr>
            </w:pPr>
          </w:p>
        </w:tc>
        <w:tc>
          <w:tcPr>
            <w:tcW w:w="1210" w:type="dxa"/>
            <w:tcBorders>
              <w:left w:val="nil"/>
            </w:tcBorders>
          </w:tcPr>
          <w:p w14:paraId="605C19E3" w14:textId="77777777" w:rsidR="00501609" w:rsidRDefault="00501609" w:rsidP="005359CD">
            <w:pPr>
              <w:jc w:val="right"/>
              <w:rPr>
                <w:rFonts w:cs="Arial"/>
                <w:b/>
                <w:sz w:val="22"/>
                <w:szCs w:val="22"/>
                <w:u w:val="single"/>
              </w:rPr>
            </w:pPr>
          </w:p>
        </w:tc>
      </w:tr>
    </w:tbl>
    <w:p w14:paraId="4110C3E4" w14:textId="77777777" w:rsidR="00104D6D" w:rsidRDefault="00104D6D" w:rsidP="00743406">
      <w:pPr>
        <w:rPr>
          <w:rFonts w:cs="Arial"/>
          <w:b/>
          <w:sz w:val="22"/>
          <w:szCs w:val="22"/>
          <w:u w:val="single"/>
        </w:rPr>
      </w:pPr>
    </w:p>
    <w:p w14:paraId="3B37E1BD" w14:textId="77777777" w:rsidR="00743406" w:rsidRPr="00743406" w:rsidRDefault="00743406" w:rsidP="00743406">
      <w:pPr>
        <w:rPr>
          <w:rFonts w:cs="Arial"/>
          <w:sz w:val="22"/>
          <w:szCs w:val="22"/>
        </w:rPr>
      </w:pPr>
    </w:p>
    <w:p w14:paraId="69DBD651" w14:textId="77777777" w:rsidR="004E6D01" w:rsidRDefault="004E6D01">
      <w:pPr>
        <w:spacing w:after="200" w:line="276" w:lineRule="auto"/>
        <w:rPr>
          <w:rFonts w:cs="Arial"/>
          <w:b/>
          <w:color w:val="00B050"/>
          <w:sz w:val="22"/>
          <w:szCs w:val="22"/>
        </w:rPr>
      </w:pPr>
      <w:r>
        <w:rPr>
          <w:rFonts w:cs="Arial"/>
          <w:b/>
          <w:color w:val="00B050"/>
          <w:sz w:val="22"/>
          <w:szCs w:val="22"/>
        </w:rPr>
        <w:br w:type="page"/>
      </w:r>
    </w:p>
    <w:p w14:paraId="31B9C648" w14:textId="77777777" w:rsidR="00743406" w:rsidRPr="00104D6D" w:rsidRDefault="00743406" w:rsidP="00104D6D">
      <w:pPr>
        <w:rPr>
          <w:rFonts w:cs="Arial"/>
          <w:b/>
          <w:color w:val="00B050"/>
          <w:sz w:val="22"/>
          <w:szCs w:val="22"/>
        </w:rPr>
      </w:pPr>
      <w:r w:rsidRPr="00104D6D">
        <w:rPr>
          <w:rFonts w:cs="Arial"/>
          <w:b/>
          <w:color w:val="00B050"/>
          <w:sz w:val="22"/>
          <w:szCs w:val="22"/>
        </w:rPr>
        <w:lastRenderedPageBreak/>
        <w:t>Uitgaven:</w:t>
      </w:r>
    </w:p>
    <w:p w14:paraId="3EF87E5D" w14:textId="57B7DD93" w:rsidR="00743406" w:rsidRDefault="00743406" w:rsidP="00743406">
      <w:pPr>
        <w:rPr>
          <w:rFonts w:cs="Arial"/>
          <w:b/>
          <w:sz w:val="22"/>
          <w:szCs w:val="22"/>
          <w:u w:val="single"/>
        </w:rPr>
      </w:pPr>
    </w:p>
    <w:p w14:paraId="43BC3089" w14:textId="77FECFD7" w:rsidR="003B00D1" w:rsidRDefault="003B00D1" w:rsidP="00743406">
      <w:pPr>
        <w:rPr>
          <w:rFonts w:cs="Arial"/>
          <w:b/>
          <w:sz w:val="22"/>
          <w:szCs w:val="22"/>
          <w:u w:val="single"/>
        </w:rPr>
      </w:pPr>
    </w:p>
    <w:p w14:paraId="35CAE3D4" w14:textId="4AA19650" w:rsidR="003B00D1" w:rsidRDefault="00191F38" w:rsidP="00743406">
      <w:pPr>
        <w:rPr>
          <w:rFonts w:cs="Arial"/>
          <w:b/>
          <w:sz w:val="22"/>
          <w:szCs w:val="22"/>
          <w:u w:val="single"/>
        </w:rPr>
      </w:pPr>
      <w:r w:rsidRPr="00191F38">
        <w:rPr>
          <w:noProof/>
        </w:rPr>
        <w:drawing>
          <wp:inline distT="0" distB="0" distL="0" distR="0" wp14:anchorId="261D4005" wp14:editId="63E66EA9">
            <wp:extent cx="5760720" cy="154305"/>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459BF142" w14:textId="508D790D" w:rsidR="00191F38" w:rsidRDefault="00A559AA" w:rsidP="00743406">
      <w:pPr>
        <w:rPr>
          <w:rFonts w:cs="Arial"/>
          <w:b/>
          <w:sz w:val="22"/>
          <w:szCs w:val="22"/>
          <w:u w:val="single"/>
        </w:rPr>
      </w:pPr>
      <w:r w:rsidRPr="00A559AA">
        <w:rPr>
          <w:noProof/>
        </w:rPr>
        <w:drawing>
          <wp:inline distT="0" distB="0" distL="0" distR="0" wp14:anchorId="015317E8" wp14:editId="7DAC09E4">
            <wp:extent cx="5760720" cy="392430"/>
            <wp:effectExtent l="0" t="0" r="0" b="762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92430"/>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567"/>
        <w:gridCol w:w="1495"/>
      </w:tblGrid>
      <w:tr w:rsidR="00593043" w:rsidRPr="00104D6D" w14:paraId="2C2A3875" w14:textId="77777777" w:rsidTr="003B00D1">
        <w:tc>
          <w:tcPr>
            <w:tcW w:w="7567" w:type="dxa"/>
            <w:tcBorders>
              <w:bottom w:val="single" w:sz="4" w:space="0" w:color="000000" w:themeColor="text1"/>
            </w:tcBorders>
            <w:shd w:val="clear" w:color="auto" w:fill="000000" w:themeFill="text1"/>
          </w:tcPr>
          <w:p w14:paraId="5E149731" w14:textId="77777777" w:rsidR="00593043" w:rsidRPr="00104D6D" w:rsidRDefault="0010170C" w:rsidP="005936D5">
            <w:pPr>
              <w:rPr>
                <w:rFonts w:cs="Arial"/>
                <w:b/>
                <w:color w:val="FFFFFF" w:themeColor="background1"/>
                <w:sz w:val="22"/>
                <w:szCs w:val="22"/>
              </w:rPr>
            </w:pPr>
            <w:r>
              <w:rPr>
                <w:rFonts w:cs="Arial"/>
                <w:b/>
                <w:color w:val="FFFFFF" w:themeColor="background1"/>
                <w:sz w:val="22"/>
                <w:szCs w:val="22"/>
              </w:rPr>
              <w:t>Bestuurkosten</w:t>
            </w:r>
            <w:r w:rsidR="00593043" w:rsidRPr="00104D6D">
              <w:rPr>
                <w:rFonts w:cs="Arial"/>
                <w:b/>
                <w:color w:val="FFFFFF" w:themeColor="background1"/>
                <w:sz w:val="22"/>
                <w:szCs w:val="22"/>
              </w:rPr>
              <w:t xml:space="preserve"> </w:t>
            </w:r>
          </w:p>
        </w:tc>
        <w:tc>
          <w:tcPr>
            <w:tcW w:w="1495" w:type="dxa"/>
            <w:tcBorders>
              <w:bottom w:val="single" w:sz="4" w:space="0" w:color="000000" w:themeColor="text1"/>
            </w:tcBorders>
            <w:shd w:val="clear" w:color="auto" w:fill="000000" w:themeFill="text1"/>
          </w:tcPr>
          <w:p w14:paraId="56F911BC" w14:textId="2C8DA206" w:rsidR="00593043" w:rsidRPr="00593043" w:rsidRDefault="00593043" w:rsidP="00D266D2">
            <w:pPr>
              <w:jc w:val="right"/>
              <w:rPr>
                <w:rFonts w:cs="Arial"/>
                <w:b/>
                <w:sz w:val="22"/>
                <w:szCs w:val="22"/>
              </w:rPr>
            </w:pPr>
            <w:r w:rsidRPr="00743406">
              <w:rPr>
                <w:rFonts w:cs="Arial"/>
                <w:b/>
                <w:sz w:val="22"/>
                <w:szCs w:val="22"/>
              </w:rPr>
              <w:t xml:space="preserve">€  </w:t>
            </w:r>
            <w:r w:rsidR="00E8190D">
              <w:rPr>
                <w:rFonts w:cs="Arial"/>
                <w:b/>
                <w:sz w:val="22"/>
                <w:szCs w:val="22"/>
              </w:rPr>
              <w:t>343</w:t>
            </w:r>
            <w:r w:rsidR="0017213B">
              <w:rPr>
                <w:rFonts w:cs="Arial"/>
                <w:b/>
                <w:sz w:val="22"/>
                <w:szCs w:val="22"/>
              </w:rPr>
              <w:t>,</w:t>
            </w:r>
            <w:r w:rsidR="00E8190D">
              <w:rPr>
                <w:rFonts w:cs="Arial"/>
                <w:b/>
                <w:sz w:val="22"/>
                <w:szCs w:val="22"/>
              </w:rPr>
              <w:t>55</w:t>
            </w:r>
          </w:p>
        </w:tc>
      </w:tr>
      <w:tr w:rsidR="003B00D1" w14:paraId="49908C44" w14:textId="77777777" w:rsidTr="008C3BE4">
        <w:tc>
          <w:tcPr>
            <w:tcW w:w="7567" w:type="dxa"/>
            <w:tcBorders>
              <w:right w:val="nil"/>
            </w:tcBorders>
          </w:tcPr>
          <w:p w14:paraId="32B46038" w14:textId="3D1E8850" w:rsidR="003B00D1" w:rsidRDefault="003B00D1" w:rsidP="00B5407B">
            <w:r w:rsidRPr="00593043">
              <w:rPr>
                <w:b/>
              </w:rPr>
              <w:t>Vergaderkosten</w:t>
            </w:r>
            <w:r>
              <w:br/>
              <w:t>De vergaderkosten bestaan</w:t>
            </w:r>
            <w:r w:rsidR="00E8190D">
              <w:t xml:space="preserve"> normaliter</w:t>
            </w:r>
            <w:r>
              <w:t xml:space="preserve"> voor de vereniging uit: twee algemene ledenvergaderingen</w:t>
            </w:r>
            <w:r w:rsidR="00E8190D">
              <w:t xml:space="preserve"> en </w:t>
            </w:r>
            <w:r>
              <w:t xml:space="preserve">AB en DB-vergaderingen. </w:t>
            </w:r>
            <w:r>
              <w:br/>
              <w:t>Voor de twee algemene ledenvergaderingen worden de kosten verdeeld tussen de fractie en de vereniging.</w:t>
            </w:r>
            <w:r w:rsidR="00E8190D">
              <w:t xml:space="preserve"> Deze vergaderingen hebben fysiek in 2020 niet kunnen plaatsvinden, maar online waardoor de kosten zeer beperkt zijn.</w:t>
            </w:r>
            <w:r>
              <w:br/>
            </w:r>
          </w:p>
          <w:p w14:paraId="1E48D064" w14:textId="7E536617" w:rsidR="003B00D1" w:rsidRPr="00593043" w:rsidRDefault="003B00D1" w:rsidP="005936D5">
            <w:pPr>
              <w:rPr>
                <w:rFonts w:cs="Arial"/>
                <w:sz w:val="22"/>
                <w:szCs w:val="22"/>
              </w:rPr>
            </w:pPr>
            <w:r>
              <w:rPr>
                <w:b/>
              </w:rPr>
              <w:t>Representatie</w:t>
            </w:r>
            <w:r>
              <w:br/>
              <w:t>Deze post is gebruikt om kleine attenties te sturen en vrijwilligers in het zonnetje te zetten als zij afzwaaien</w:t>
            </w:r>
            <w:r w:rsidR="00E8190D">
              <w:t>.</w:t>
            </w:r>
          </w:p>
        </w:tc>
        <w:tc>
          <w:tcPr>
            <w:tcW w:w="1495" w:type="dxa"/>
            <w:tcBorders>
              <w:left w:val="nil"/>
            </w:tcBorders>
          </w:tcPr>
          <w:p w14:paraId="6A6F43FF" w14:textId="77777777" w:rsidR="003B00D1" w:rsidRDefault="003B00D1" w:rsidP="005359CD">
            <w:pPr>
              <w:jc w:val="right"/>
              <w:rPr>
                <w:rFonts w:cs="Arial"/>
                <w:b/>
                <w:sz w:val="22"/>
                <w:szCs w:val="22"/>
                <w:u w:val="single"/>
              </w:rPr>
            </w:pPr>
          </w:p>
        </w:tc>
      </w:tr>
      <w:tr w:rsidR="003B00D1" w14:paraId="1B97F17B" w14:textId="77777777" w:rsidTr="008C3BE4">
        <w:tc>
          <w:tcPr>
            <w:tcW w:w="7567" w:type="dxa"/>
            <w:tcBorders>
              <w:right w:val="nil"/>
            </w:tcBorders>
          </w:tcPr>
          <w:p w14:paraId="4BADF5FA" w14:textId="55E512B3" w:rsidR="003B00D1" w:rsidRPr="00593043" w:rsidRDefault="003B00D1" w:rsidP="00D266D2">
            <w:pPr>
              <w:rPr>
                <w:rFonts w:cs="Arial"/>
                <w:sz w:val="22"/>
                <w:szCs w:val="22"/>
              </w:rPr>
            </w:pPr>
          </w:p>
        </w:tc>
        <w:tc>
          <w:tcPr>
            <w:tcW w:w="1495" w:type="dxa"/>
            <w:tcBorders>
              <w:left w:val="nil"/>
            </w:tcBorders>
          </w:tcPr>
          <w:p w14:paraId="6BC2648A" w14:textId="77777777" w:rsidR="003B00D1" w:rsidRDefault="003B00D1" w:rsidP="005936D5">
            <w:pPr>
              <w:rPr>
                <w:rFonts w:cs="Arial"/>
                <w:b/>
                <w:sz w:val="22"/>
                <w:szCs w:val="22"/>
                <w:u w:val="single"/>
              </w:rPr>
            </w:pPr>
          </w:p>
        </w:tc>
      </w:tr>
    </w:tbl>
    <w:p w14:paraId="2F17AC2A" w14:textId="283C1D57" w:rsidR="00743406" w:rsidRDefault="00743406" w:rsidP="00743406">
      <w:pPr>
        <w:jc w:val="both"/>
        <w:rPr>
          <w:rFonts w:cs="Arial"/>
          <w:sz w:val="22"/>
          <w:szCs w:val="22"/>
        </w:rPr>
      </w:pPr>
    </w:p>
    <w:p w14:paraId="253E60E8" w14:textId="132C2A9B" w:rsidR="00191F38" w:rsidRDefault="00191F38" w:rsidP="00743406">
      <w:pPr>
        <w:jc w:val="both"/>
        <w:rPr>
          <w:rFonts w:cs="Arial"/>
          <w:sz w:val="22"/>
          <w:szCs w:val="22"/>
        </w:rPr>
      </w:pPr>
    </w:p>
    <w:p w14:paraId="206B2718" w14:textId="685DE5E2" w:rsidR="00191F38" w:rsidRDefault="00191F38" w:rsidP="00743406">
      <w:pPr>
        <w:jc w:val="both"/>
        <w:rPr>
          <w:rFonts w:cs="Arial"/>
          <w:sz w:val="22"/>
          <w:szCs w:val="22"/>
        </w:rPr>
      </w:pPr>
      <w:r w:rsidRPr="00191F38">
        <w:rPr>
          <w:noProof/>
        </w:rPr>
        <w:drawing>
          <wp:inline distT="0" distB="0" distL="0" distR="0" wp14:anchorId="001FA87B" wp14:editId="2A3F0264">
            <wp:extent cx="5760720" cy="154305"/>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44F0B3CA" w14:textId="36B6600E" w:rsidR="00E8190D" w:rsidRDefault="00E8190D" w:rsidP="00743406">
      <w:pPr>
        <w:jc w:val="both"/>
        <w:rPr>
          <w:rFonts w:cs="Arial"/>
          <w:sz w:val="22"/>
          <w:szCs w:val="22"/>
        </w:rPr>
      </w:pPr>
      <w:r w:rsidRPr="00E8190D">
        <w:rPr>
          <w:noProof/>
        </w:rPr>
        <w:drawing>
          <wp:inline distT="0" distB="0" distL="0" distR="0" wp14:anchorId="38BE9FCE" wp14:editId="2F96A909">
            <wp:extent cx="5760720" cy="264160"/>
            <wp:effectExtent l="0" t="0" r="0" b="254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64160"/>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549"/>
        <w:gridCol w:w="1513"/>
      </w:tblGrid>
      <w:tr w:rsidR="0010170C" w:rsidRPr="00104D6D" w14:paraId="095A274B" w14:textId="77777777" w:rsidTr="009D4DA1">
        <w:tc>
          <w:tcPr>
            <w:tcW w:w="7763" w:type="dxa"/>
            <w:tcBorders>
              <w:bottom w:val="single" w:sz="4" w:space="0" w:color="000000" w:themeColor="text1"/>
            </w:tcBorders>
            <w:shd w:val="clear" w:color="auto" w:fill="000000" w:themeFill="text1"/>
          </w:tcPr>
          <w:p w14:paraId="3A348EBD" w14:textId="77777777" w:rsidR="0010170C" w:rsidRPr="00104D6D" w:rsidRDefault="0010170C" w:rsidP="009D4DA1">
            <w:pPr>
              <w:rPr>
                <w:rFonts w:cs="Arial"/>
                <w:b/>
                <w:color w:val="FFFFFF" w:themeColor="background1"/>
                <w:sz w:val="22"/>
                <w:szCs w:val="22"/>
              </w:rPr>
            </w:pPr>
            <w:r>
              <w:rPr>
                <w:rFonts w:cs="Arial"/>
                <w:b/>
                <w:color w:val="FFFFFF" w:themeColor="background1"/>
                <w:sz w:val="22"/>
                <w:szCs w:val="22"/>
              </w:rPr>
              <w:t>Apparaatkosten</w:t>
            </w:r>
            <w:r w:rsidRPr="00104D6D">
              <w:rPr>
                <w:rFonts w:cs="Arial"/>
                <w:b/>
                <w:color w:val="FFFFFF" w:themeColor="background1"/>
                <w:sz w:val="22"/>
                <w:szCs w:val="22"/>
              </w:rPr>
              <w:t xml:space="preserve"> </w:t>
            </w:r>
          </w:p>
        </w:tc>
        <w:tc>
          <w:tcPr>
            <w:tcW w:w="1525" w:type="dxa"/>
            <w:tcBorders>
              <w:bottom w:val="single" w:sz="4" w:space="0" w:color="000000" w:themeColor="text1"/>
            </w:tcBorders>
            <w:shd w:val="clear" w:color="auto" w:fill="000000" w:themeFill="text1"/>
          </w:tcPr>
          <w:p w14:paraId="0D54CD71" w14:textId="7CB5328F" w:rsidR="0010170C" w:rsidRPr="00593043" w:rsidRDefault="0010170C" w:rsidP="00D266D2">
            <w:pPr>
              <w:jc w:val="right"/>
              <w:rPr>
                <w:rFonts w:cs="Arial"/>
                <w:b/>
                <w:sz w:val="22"/>
                <w:szCs w:val="22"/>
              </w:rPr>
            </w:pPr>
            <w:r w:rsidRPr="00743406">
              <w:rPr>
                <w:rFonts w:cs="Arial"/>
                <w:b/>
                <w:sz w:val="22"/>
                <w:szCs w:val="22"/>
              </w:rPr>
              <w:t xml:space="preserve">€  </w:t>
            </w:r>
            <w:r w:rsidR="004E6D01">
              <w:rPr>
                <w:rFonts w:cs="Arial"/>
                <w:b/>
                <w:sz w:val="22"/>
                <w:szCs w:val="22"/>
              </w:rPr>
              <w:t>5</w:t>
            </w:r>
            <w:r w:rsidR="00E8190D">
              <w:rPr>
                <w:rFonts w:cs="Arial"/>
                <w:b/>
                <w:sz w:val="22"/>
                <w:szCs w:val="22"/>
              </w:rPr>
              <w:t>0</w:t>
            </w:r>
            <w:r w:rsidRPr="00743406">
              <w:rPr>
                <w:rFonts w:cs="Arial"/>
                <w:b/>
                <w:sz w:val="22"/>
                <w:szCs w:val="22"/>
              </w:rPr>
              <w:t>.</w:t>
            </w:r>
            <w:r w:rsidR="00E8190D">
              <w:rPr>
                <w:rFonts w:cs="Arial"/>
                <w:b/>
                <w:sz w:val="22"/>
                <w:szCs w:val="22"/>
              </w:rPr>
              <w:t>611</w:t>
            </w:r>
            <w:r>
              <w:rPr>
                <w:rFonts w:cs="Arial"/>
                <w:b/>
                <w:sz w:val="22"/>
                <w:szCs w:val="22"/>
              </w:rPr>
              <w:t>,</w:t>
            </w:r>
            <w:r w:rsidR="004E6D01">
              <w:rPr>
                <w:rFonts w:cs="Arial"/>
                <w:b/>
                <w:sz w:val="22"/>
                <w:szCs w:val="22"/>
              </w:rPr>
              <w:t>0</w:t>
            </w:r>
            <w:r w:rsidR="00E8190D">
              <w:rPr>
                <w:rFonts w:cs="Arial"/>
                <w:b/>
                <w:sz w:val="22"/>
                <w:szCs w:val="22"/>
              </w:rPr>
              <w:t>2</w:t>
            </w:r>
          </w:p>
        </w:tc>
      </w:tr>
      <w:tr w:rsidR="0010170C" w14:paraId="3B32956A" w14:textId="77777777" w:rsidTr="009D4DA1">
        <w:tc>
          <w:tcPr>
            <w:tcW w:w="7763" w:type="dxa"/>
            <w:tcBorders>
              <w:right w:val="nil"/>
            </w:tcBorders>
          </w:tcPr>
          <w:p w14:paraId="10F46378" w14:textId="77777777" w:rsidR="00E8190D" w:rsidRDefault="00E8190D" w:rsidP="0010170C"/>
          <w:p w14:paraId="26F0F428" w14:textId="2ED6363B" w:rsidR="0010170C" w:rsidRPr="00593043" w:rsidRDefault="004E6D01" w:rsidP="0010170C">
            <w:r>
              <w:t>In 20</w:t>
            </w:r>
            <w:r w:rsidR="00E8190D">
              <w:t xml:space="preserve">20 zijn de salariskosten omhooggegaan door </w:t>
            </w:r>
            <w:r w:rsidR="00F06897">
              <w:t>het afsluiten van een nieuwe CAO. Tevens zijn extra kosten gemaakt i.v.m. de wisseling van de personele ondersteuning.</w:t>
            </w:r>
          </w:p>
        </w:tc>
        <w:tc>
          <w:tcPr>
            <w:tcW w:w="1525" w:type="dxa"/>
            <w:tcBorders>
              <w:left w:val="nil"/>
            </w:tcBorders>
          </w:tcPr>
          <w:p w14:paraId="04D35A0F" w14:textId="77777777" w:rsidR="0010170C" w:rsidRDefault="0010170C" w:rsidP="009D4DA1">
            <w:pPr>
              <w:rPr>
                <w:rFonts w:cs="Arial"/>
                <w:b/>
                <w:sz w:val="22"/>
                <w:szCs w:val="22"/>
                <w:u w:val="single"/>
              </w:rPr>
            </w:pPr>
          </w:p>
        </w:tc>
      </w:tr>
    </w:tbl>
    <w:p w14:paraId="1E9AE48B" w14:textId="05B0DB02" w:rsidR="0010170C" w:rsidRDefault="0010170C" w:rsidP="00743406">
      <w:pPr>
        <w:jc w:val="both"/>
        <w:rPr>
          <w:rFonts w:cs="Arial"/>
          <w:sz w:val="22"/>
          <w:szCs w:val="22"/>
        </w:rPr>
      </w:pPr>
    </w:p>
    <w:p w14:paraId="6CCE99FD" w14:textId="3E182130" w:rsidR="00191F38" w:rsidRDefault="00191F38" w:rsidP="00743406">
      <w:pPr>
        <w:jc w:val="both"/>
        <w:rPr>
          <w:rFonts w:cs="Arial"/>
          <w:sz w:val="22"/>
          <w:szCs w:val="22"/>
        </w:rPr>
      </w:pPr>
      <w:r w:rsidRPr="00191F38">
        <w:rPr>
          <w:noProof/>
        </w:rPr>
        <w:drawing>
          <wp:inline distT="0" distB="0" distL="0" distR="0" wp14:anchorId="0E3DBDB6" wp14:editId="269C8EEE">
            <wp:extent cx="5760720" cy="154305"/>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081B1D12" w14:textId="4D967E60" w:rsidR="00191F38" w:rsidRDefault="00F06897" w:rsidP="00743406">
      <w:pPr>
        <w:jc w:val="both"/>
        <w:rPr>
          <w:rFonts w:cs="Arial"/>
          <w:sz w:val="22"/>
          <w:szCs w:val="22"/>
        </w:rPr>
      </w:pPr>
      <w:r w:rsidRPr="00F06897">
        <w:rPr>
          <w:noProof/>
        </w:rPr>
        <w:drawing>
          <wp:inline distT="0" distB="0" distL="0" distR="0" wp14:anchorId="56DBE397" wp14:editId="66FFA6C3">
            <wp:extent cx="5760720" cy="247015"/>
            <wp:effectExtent l="0" t="0" r="0" b="63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47015"/>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554"/>
        <w:gridCol w:w="1508"/>
      </w:tblGrid>
      <w:tr w:rsidR="006E65CD" w:rsidRPr="00593043" w14:paraId="451A29CE" w14:textId="77777777" w:rsidTr="00F06897">
        <w:tc>
          <w:tcPr>
            <w:tcW w:w="7554" w:type="dxa"/>
            <w:tcBorders>
              <w:bottom w:val="single" w:sz="4" w:space="0" w:color="000000" w:themeColor="text1"/>
            </w:tcBorders>
            <w:shd w:val="clear" w:color="auto" w:fill="000000" w:themeFill="text1"/>
          </w:tcPr>
          <w:p w14:paraId="373E6497" w14:textId="77777777" w:rsidR="006E65CD" w:rsidRPr="00104D6D" w:rsidRDefault="006E65CD" w:rsidP="009D4DA1">
            <w:pPr>
              <w:rPr>
                <w:rFonts w:cs="Arial"/>
                <w:b/>
                <w:color w:val="FFFFFF" w:themeColor="background1"/>
                <w:sz w:val="22"/>
                <w:szCs w:val="22"/>
              </w:rPr>
            </w:pPr>
            <w:r>
              <w:rPr>
                <w:rFonts w:cs="Arial"/>
                <w:b/>
                <w:color w:val="FFFFFF" w:themeColor="background1"/>
                <w:sz w:val="22"/>
                <w:szCs w:val="22"/>
              </w:rPr>
              <w:t>Campagne</w:t>
            </w:r>
          </w:p>
        </w:tc>
        <w:tc>
          <w:tcPr>
            <w:tcW w:w="1508" w:type="dxa"/>
            <w:tcBorders>
              <w:bottom w:val="single" w:sz="4" w:space="0" w:color="000000" w:themeColor="text1"/>
            </w:tcBorders>
            <w:shd w:val="clear" w:color="auto" w:fill="000000" w:themeFill="text1"/>
          </w:tcPr>
          <w:p w14:paraId="6FA5C241" w14:textId="5DE18CB1" w:rsidR="006E65CD" w:rsidRPr="00593043" w:rsidRDefault="006E65CD" w:rsidP="00D266D2">
            <w:pPr>
              <w:jc w:val="right"/>
              <w:rPr>
                <w:rFonts w:cs="Arial"/>
                <w:b/>
                <w:sz w:val="22"/>
                <w:szCs w:val="22"/>
              </w:rPr>
            </w:pPr>
            <w:r w:rsidRPr="00743406">
              <w:rPr>
                <w:rFonts w:cs="Arial"/>
                <w:b/>
                <w:sz w:val="22"/>
                <w:szCs w:val="22"/>
              </w:rPr>
              <w:t xml:space="preserve">€  </w:t>
            </w:r>
            <w:r w:rsidR="00522BB5">
              <w:rPr>
                <w:rFonts w:cs="Arial"/>
                <w:b/>
                <w:sz w:val="22"/>
                <w:szCs w:val="22"/>
              </w:rPr>
              <w:t xml:space="preserve"> </w:t>
            </w:r>
            <w:r w:rsidR="00F06897">
              <w:rPr>
                <w:rFonts w:cs="Arial"/>
                <w:b/>
                <w:sz w:val="22"/>
                <w:szCs w:val="22"/>
              </w:rPr>
              <w:t>7</w:t>
            </w:r>
            <w:r>
              <w:rPr>
                <w:rFonts w:cs="Arial"/>
                <w:b/>
                <w:sz w:val="22"/>
                <w:szCs w:val="22"/>
              </w:rPr>
              <w:t>.</w:t>
            </w:r>
            <w:r w:rsidR="00F06897">
              <w:rPr>
                <w:rFonts w:cs="Arial"/>
                <w:b/>
                <w:sz w:val="22"/>
                <w:szCs w:val="22"/>
              </w:rPr>
              <w:t>885</w:t>
            </w:r>
            <w:r w:rsidR="000167C8">
              <w:rPr>
                <w:rFonts w:cs="Arial"/>
                <w:b/>
                <w:sz w:val="22"/>
                <w:szCs w:val="22"/>
              </w:rPr>
              <w:t>,</w:t>
            </w:r>
            <w:r w:rsidR="00F06897">
              <w:rPr>
                <w:rFonts w:cs="Arial"/>
                <w:b/>
                <w:sz w:val="22"/>
                <w:szCs w:val="22"/>
              </w:rPr>
              <w:t>00</w:t>
            </w:r>
          </w:p>
        </w:tc>
      </w:tr>
      <w:tr w:rsidR="006E65CD" w14:paraId="4DBAAA4D" w14:textId="77777777" w:rsidTr="00F06897">
        <w:tc>
          <w:tcPr>
            <w:tcW w:w="7554" w:type="dxa"/>
            <w:tcBorders>
              <w:right w:val="nil"/>
            </w:tcBorders>
          </w:tcPr>
          <w:p w14:paraId="00C081FD" w14:textId="77777777" w:rsidR="004470D3" w:rsidRDefault="00FA3353" w:rsidP="00D266D2">
            <w:r>
              <w:t>We stellen voor om de kosten voor het Permanent Campagne Team af te romen op de gedane uitgave in 20</w:t>
            </w:r>
            <w:r w:rsidR="00F06897">
              <w:t>20</w:t>
            </w:r>
            <w:r>
              <w:t>.</w:t>
            </w:r>
            <w:r w:rsidR="006E65CD">
              <w:t xml:space="preserve"> </w:t>
            </w:r>
          </w:p>
          <w:p w14:paraId="06CBC9D3" w14:textId="7AAAAD1F" w:rsidR="006E65CD" w:rsidRPr="00246F2C" w:rsidRDefault="00FA3353" w:rsidP="00D266D2">
            <w:r>
              <w:t>De</w:t>
            </w:r>
            <w:r w:rsidR="006E65CD">
              <w:t xml:space="preserve"> LBR voor Provinciale Staten en Waterschappen </w:t>
            </w:r>
            <w:r w:rsidR="00F06897">
              <w:t xml:space="preserve">is </w:t>
            </w:r>
            <w:r w:rsidR="00D266D2">
              <w:t>één op één gestort in de voorziening</w:t>
            </w:r>
            <w:r w:rsidR="00904AF6">
              <w:t>.</w:t>
            </w:r>
          </w:p>
        </w:tc>
        <w:tc>
          <w:tcPr>
            <w:tcW w:w="1508" w:type="dxa"/>
            <w:tcBorders>
              <w:left w:val="nil"/>
            </w:tcBorders>
          </w:tcPr>
          <w:p w14:paraId="530A5062" w14:textId="77777777" w:rsidR="006E65CD" w:rsidRDefault="006E65CD" w:rsidP="009D4DA1">
            <w:pPr>
              <w:rPr>
                <w:rFonts w:cs="Arial"/>
                <w:b/>
                <w:sz w:val="22"/>
                <w:szCs w:val="22"/>
                <w:u w:val="single"/>
              </w:rPr>
            </w:pPr>
          </w:p>
        </w:tc>
      </w:tr>
    </w:tbl>
    <w:p w14:paraId="0D2418A1" w14:textId="1336FB15" w:rsidR="006E65CD" w:rsidRDefault="006E65CD" w:rsidP="00743406">
      <w:pPr>
        <w:jc w:val="both"/>
        <w:rPr>
          <w:rFonts w:cs="Arial"/>
          <w:sz w:val="22"/>
          <w:szCs w:val="22"/>
        </w:rPr>
      </w:pPr>
    </w:p>
    <w:p w14:paraId="3F4B094E" w14:textId="4B105005" w:rsidR="00191F38" w:rsidRDefault="00191F38" w:rsidP="00743406">
      <w:pPr>
        <w:jc w:val="both"/>
        <w:rPr>
          <w:rFonts w:cs="Arial"/>
          <w:sz w:val="22"/>
          <w:szCs w:val="22"/>
        </w:rPr>
      </w:pPr>
      <w:r w:rsidRPr="00191F38">
        <w:rPr>
          <w:noProof/>
        </w:rPr>
        <w:drawing>
          <wp:inline distT="0" distB="0" distL="0" distR="0" wp14:anchorId="61150ABA" wp14:editId="570066CE">
            <wp:extent cx="5760720" cy="154305"/>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516C37F0" w14:textId="646DCB2B" w:rsidR="00F06897" w:rsidRDefault="00F06897" w:rsidP="00743406">
      <w:pPr>
        <w:jc w:val="both"/>
        <w:rPr>
          <w:rFonts w:cs="Arial"/>
          <w:sz w:val="22"/>
          <w:szCs w:val="22"/>
        </w:rPr>
      </w:pPr>
      <w:r w:rsidRPr="00F06897">
        <w:rPr>
          <w:noProof/>
        </w:rPr>
        <w:drawing>
          <wp:inline distT="0" distB="0" distL="0" distR="0" wp14:anchorId="66D9B176" wp14:editId="2B833AA6">
            <wp:extent cx="5760720" cy="38354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83540"/>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562"/>
        <w:gridCol w:w="281"/>
        <w:gridCol w:w="1219"/>
      </w:tblGrid>
      <w:tr w:rsidR="0010170C" w:rsidRPr="00104D6D" w14:paraId="7B6554F9" w14:textId="77777777" w:rsidTr="00F06897">
        <w:tc>
          <w:tcPr>
            <w:tcW w:w="7562" w:type="dxa"/>
            <w:tcBorders>
              <w:bottom w:val="single" w:sz="4" w:space="0" w:color="000000" w:themeColor="text1"/>
            </w:tcBorders>
            <w:shd w:val="clear" w:color="auto" w:fill="000000" w:themeFill="text1"/>
          </w:tcPr>
          <w:p w14:paraId="3CD184FF" w14:textId="77777777" w:rsidR="0010170C" w:rsidRPr="00104D6D" w:rsidRDefault="0010170C" w:rsidP="009D4DA1">
            <w:pPr>
              <w:rPr>
                <w:rFonts w:cs="Arial"/>
                <w:b/>
                <w:color w:val="FFFFFF" w:themeColor="background1"/>
                <w:sz w:val="22"/>
                <w:szCs w:val="22"/>
              </w:rPr>
            </w:pPr>
            <w:r>
              <w:rPr>
                <w:rFonts w:cs="Arial"/>
                <w:b/>
                <w:color w:val="FFFFFF" w:themeColor="background1"/>
                <w:sz w:val="22"/>
                <w:szCs w:val="22"/>
              </w:rPr>
              <w:t>Ledenactiviteiten</w:t>
            </w:r>
            <w:r w:rsidRPr="00104D6D">
              <w:rPr>
                <w:rFonts w:cs="Arial"/>
                <w:b/>
                <w:color w:val="FFFFFF" w:themeColor="background1"/>
                <w:sz w:val="22"/>
                <w:szCs w:val="22"/>
              </w:rPr>
              <w:t xml:space="preserve"> </w:t>
            </w:r>
          </w:p>
        </w:tc>
        <w:tc>
          <w:tcPr>
            <w:tcW w:w="1500" w:type="dxa"/>
            <w:gridSpan w:val="2"/>
            <w:tcBorders>
              <w:bottom w:val="single" w:sz="4" w:space="0" w:color="000000" w:themeColor="text1"/>
            </w:tcBorders>
            <w:shd w:val="clear" w:color="auto" w:fill="000000" w:themeFill="text1"/>
          </w:tcPr>
          <w:p w14:paraId="4CE8006E" w14:textId="27F1D533" w:rsidR="0010170C" w:rsidRPr="00593043" w:rsidRDefault="0010170C" w:rsidP="00621006">
            <w:pPr>
              <w:jc w:val="right"/>
              <w:rPr>
                <w:rFonts w:cs="Arial"/>
                <w:b/>
                <w:sz w:val="22"/>
                <w:szCs w:val="22"/>
              </w:rPr>
            </w:pPr>
            <w:r w:rsidRPr="00743406">
              <w:rPr>
                <w:rFonts w:cs="Arial"/>
                <w:b/>
                <w:sz w:val="22"/>
                <w:szCs w:val="22"/>
              </w:rPr>
              <w:t xml:space="preserve">€  </w:t>
            </w:r>
            <w:r w:rsidR="006E65CD">
              <w:rPr>
                <w:rFonts w:cs="Arial"/>
                <w:b/>
                <w:sz w:val="22"/>
                <w:szCs w:val="22"/>
              </w:rPr>
              <w:t xml:space="preserve"> </w:t>
            </w:r>
            <w:r w:rsidR="004470D3">
              <w:rPr>
                <w:rFonts w:cs="Arial"/>
                <w:b/>
                <w:sz w:val="22"/>
                <w:szCs w:val="22"/>
              </w:rPr>
              <w:t>1</w:t>
            </w:r>
            <w:r w:rsidRPr="00743406">
              <w:rPr>
                <w:rFonts w:cs="Arial"/>
                <w:b/>
                <w:sz w:val="22"/>
                <w:szCs w:val="22"/>
              </w:rPr>
              <w:t>.</w:t>
            </w:r>
            <w:r w:rsidR="004470D3">
              <w:rPr>
                <w:rFonts w:cs="Arial"/>
                <w:b/>
                <w:sz w:val="22"/>
                <w:szCs w:val="22"/>
              </w:rPr>
              <w:t>150</w:t>
            </w:r>
            <w:r>
              <w:rPr>
                <w:rFonts w:cs="Arial"/>
                <w:b/>
                <w:sz w:val="22"/>
                <w:szCs w:val="22"/>
              </w:rPr>
              <w:t>,</w:t>
            </w:r>
            <w:r w:rsidR="009A6151">
              <w:rPr>
                <w:rFonts w:cs="Arial"/>
                <w:b/>
                <w:sz w:val="22"/>
                <w:szCs w:val="22"/>
              </w:rPr>
              <w:t>4</w:t>
            </w:r>
            <w:r w:rsidR="004470D3">
              <w:rPr>
                <w:rFonts w:cs="Arial"/>
                <w:b/>
                <w:sz w:val="22"/>
                <w:szCs w:val="22"/>
              </w:rPr>
              <w:t>9</w:t>
            </w:r>
          </w:p>
        </w:tc>
      </w:tr>
      <w:tr w:rsidR="0010170C" w14:paraId="0E810299" w14:textId="77777777" w:rsidTr="00F06897">
        <w:tc>
          <w:tcPr>
            <w:tcW w:w="7843" w:type="dxa"/>
            <w:gridSpan w:val="2"/>
            <w:tcBorders>
              <w:right w:val="nil"/>
            </w:tcBorders>
          </w:tcPr>
          <w:p w14:paraId="4E14DAF0" w14:textId="3A880373" w:rsidR="006E65CD" w:rsidRDefault="006E65CD" w:rsidP="00621006">
            <w:r w:rsidRPr="006E65CD">
              <w:rPr>
                <w:b/>
              </w:rPr>
              <w:t>Regiokaterns</w:t>
            </w:r>
            <w:r w:rsidRPr="006E65CD">
              <w:rPr>
                <w:b/>
              </w:rPr>
              <w:br/>
            </w:r>
            <w:r w:rsidR="009A6151">
              <w:t>Er z</w:t>
            </w:r>
            <w:r w:rsidR="004470D3">
              <w:t>i</w:t>
            </w:r>
            <w:r w:rsidR="009A6151">
              <w:t xml:space="preserve">jn dit jaar </w:t>
            </w:r>
            <w:r w:rsidR="00101973">
              <w:t>3</w:t>
            </w:r>
            <w:r w:rsidR="009A6151">
              <w:t xml:space="preserve"> regiokaterns uitgegeven</w:t>
            </w:r>
          </w:p>
          <w:p w14:paraId="11200D38" w14:textId="77777777" w:rsidR="006E65CD" w:rsidRDefault="006E65CD" w:rsidP="006E65CD"/>
          <w:p w14:paraId="15A7E3A1" w14:textId="77777777" w:rsidR="006E65CD" w:rsidRDefault="00621006" w:rsidP="009D4DA1">
            <w:pPr>
              <w:rPr>
                <w:b/>
              </w:rPr>
            </w:pPr>
            <w:r>
              <w:rPr>
                <w:b/>
              </w:rPr>
              <w:t>Subsidie bijeenkomst en o</w:t>
            </w:r>
            <w:r w:rsidR="006E65CD" w:rsidRPr="006E65CD">
              <w:rPr>
                <w:b/>
              </w:rPr>
              <w:t>ndersteuning afdelingen</w:t>
            </w:r>
          </w:p>
          <w:p w14:paraId="64D45980" w14:textId="2E79023E" w:rsidR="006A0A44" w:rsidRPr="006A0A44" w:rsidRDefault="004470D3" w:rsidP="00C41058">
            <w:r>
              <w:t>Hieronder valt de projectenpot voor de gemeentelijke afdelingen.</w:t>
            </w:r>
            <w:r w:rsidR="00101973">
              <w:t xml:space="preserve"> Echter ook hier geldt dat minder activiteiten hebben kunnen plaatsvinden.</w:t>
            </w:r>
          </w:p>
        </w:tc>
        <w:tc>
          <w:tcPr>
            <w:tcW w:w="1219" w:type="dxa"/>
            <w:tcBorders>
              <w:left w:val="nil"/>
            </w:tcBorders>
          </w:tcPr>
          <w:p w14:paraId="417A5E50" w14:textId="77777777" w:rsidR="0010170C" w:rsidRDefault="0010170C" w:rsidP="009D4DA1">
            <w:pPr>
              <w:rPr>
                <w:rFonts w:cs="Arial"/>
                <w:b/>
                <w:sz w:val="22"/>
                <w:szCs w:val="22"/>
                <w:u w:val="single"/>
              </w:rPr>
            </w:pPr>
          </w:p>
        </w:tc>
      </w:tr>
    </w:tbl>
    <w:p w14:paraId="064D71C4" w14:textId="77777777" w:rsidR="00C41058" w:rsidRDefault="00C41058" w:rsidP="00743406">
      <w:pPr>
        <w:jc w:val="both"/>
        <w:rPr>
          <w:rFonts w:cs="Arial"/>
          <w:sz w:val="22"/>
          <w:szCs w:val="22"/>
        </w:rPr>
      </w:pPr>
    </w:p>
    <w:p w14:paraId="641218EF" w14:textId="77777777" w:rsidR="00C41058" w:rsidRDefault="00C41058">
      <w:pPr>
        <w:spacing w:after="200" w:line="276" w:lineRule="auto"/>
        <w:rPr>
          <w:rFonts w:cs="Arial"/>
          <w:sz w:val="22"/>
          <w:szCs w:val="22"/>
        </w:rPr>
      </w:pPr>
      <w:r>
        <w:rPr>
          <w:rFonts w:cs="Arial"/>
          <w:sz w:val="22"/>
          <w:szCs w:val="22"/>
        </w:rPr>
        <w:br w:type="page"/>
      </w:r>
    </w:p>
    <w:p w14:paraId="164C89CE" w14:textId="05644D6B" w:rsidR="005359CD" w:rsidRDefault="005359CD" w:rsidP="00743406">
      <w:pPr>
        <w:jc w:val="both"/>
        <w:rPr>
          <w:rFonts w:cs="Arial"/>
          <w:b/>
          <w:sz w:val="22"/>
          <w:szCs w:val="22"/>
        </w:rPr>
      </w:pPr>
    </w:p>
    <w:p w14:paraId="73FAC7C7" w14:textId="77777777" w:rsidR="00191F38" w:rsidRDefault="00191F38" w:rsidP="00743406">
      <w:pPr>
        <w:jc w:val="both"/>
        <w:rPr>
          <w:rFonts w:cs="Arial"/>
          <w:b/>
          <w:sz w:val="22"/>
          <w:szCs w:val="22"/>
        </w:rPr>
      </w:pPr>
    </w:p>
    <w:p w14:paraId="0618D29E" w14:textId="5D86807B" w:rsidR="00191F38" w:rsidRPr="00A256D1" w:rsidRDefault="00191F38" w:rsidP="00743406">
      <w:pPr>
        <w:jc w:val="both"/>
        <w:rPr>
          <w:rFonts w:cs="Arial"/>
          <w:b/>
          <w:sz w:val="22"/>
          <w:szCs w:val="22"/>
        </w:rPr>
      </w:pPr>
      <w:r w:rsidRPr="00191F38">
        <w:rPr>
          <w:noProof/>
        </w:rPr>
        <w:drawing>
          <wp:inline distT="0" distB="0" distL="0" distR="0" wp14:anchorId="37E46E06" wp14:editId="44D39E14">
            <wp:extent cx="5760720" cy="154305"/>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54305"/>
                    </a:xfrm>
                    <a:prstGeom prst="rect">
                      <a:avLst/>
                    </a:prstGeom>
                    <a:noFill/>
                    <a:ln>
                      <a:noFill/>
                    </a:ln>
                  </pic:spPr>
                </pic:pic>
              </a:graphicData>
            </a:graphic>
          </wp:inline>
        </w:drawing>
      </w:r>
    </w:p>
    <w:p w14:paraId="279C6B84" w14:textId="59A6BC0B" w:rsidR="00191F38" w:rsidRPr="00A256D1" w:rsidRDefault="00A256D1" w:rsidP="00743406">
      <w:pPr>
        <w:jc w:val="both"/>
        <w:rPr>
          <w:noProof/>
        </w:rPr>
      </w:pPr>
      <w:r w:rsidRPr="00A256D1">
        <w:drawing>
          <wp:inline distT="0" distB="0" distL="0" distR="0" wp14:anchorId="4CDEF957" wp14:editId="2D02BFD8">
            <wp:extent cx="5760720" cy="419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19100"/>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7411"/>
        <w:gridCol w:w="1651"/>
      </w:tblGrid>
      <w:tr w:rsidR="009A6151" w:rsidRPr="00593043" w14:paraId="52C67080" w14:textId="77777777" w:rsidTr="00FB14CA">
        <w:tc>
          <w:tcPr>
            <w:tcW w:w="7621" w:type="dxa"/>
            <w:tcBorders>
              <w:bottom w:val="single" w:sz="4" w:space="0" w:color="000000" w:themeColor="text1"/>
            </w:tcBorders>
            <w:shd w:val="clear" w:color="auto" w:fill="000000" w:themeFill="text1"/>
          </w:tcPr>
          <w:p w14:paraId="114F58D0" w14:textId="77777777" w:rsidR="009A6151" w:rsidRPr="00104D6D" w:rsidRDefault="009A6151" w:rsidP="00FB14CA">
            <w:pPr>
              <w:rPr>
                <w:rFonts w:cs="Arial"/>
                <w:b/>
                <w:color w:val="FFFFFF" w:themeColor="background1"/>
                <w:sz w:val="22"/>
                <w:szCs w:val="22"/>
              </w:rPr>
            </w:pPr>
            <w:r>
              <w:rPr>
                <w:rFonts w:cs="Arial"/>
                <w:b/>
                <w:color w:val="FFFFFF" w:themeColor="background1"/>
                <w:sz w:val="22"/>
                <w:szCs w:val="22"/>
              </w:rPr>
              <w:t>Overige lasten</w:t>
            </w:r>
          </w:p>
        </w:tc>
        <w:tc>
          <w:tcPr>
            <w:tcW w:w="1667" w:type="dxa"/>
            <w:tcBorders>
              <w:bottom w:val="single" w:sz="4" w:space="0" w:color="000000" w:themeColor="text1"/>
            </w:tcBorders>
            <w:shd w:val="clear" w:color="auto" w:fill="000000" w:themeFill="text1"/>
          </w:tcPr>
          <w:p w14:paraId="2C0EE726" w14:textId="21C108A1" w:rsidR="009A6151" w:rsidRPr="00593043" w:rsidRDefault="009A6151" w:rsidP="00FB14CA">
            <w:pPr>
              <w:jc w:val="right"/>
              <w:rPr>
                <w:rFonts w:cs="Arial"/>
                <w:b/>
                <w:sz w:val="22"/>
                <w:szCs w:val="22"/>
              </w:rPr>
            </w:pPr>
            <w:r w:rsidRPr="00743406">
              <w:rPr>
                <w:rFonts w:cs="Arial"/>
                <w:b/>
                <w:sz w:val="22"/>
                <w:szCs w:val="22"/>
              </w:rPr>
              <w:t xml:space="preserve">€  </w:t>
            </w:r>
            <w:r>
              <w:rPr>
                <w:rFonts w:cs="Arial"/>
                <w:b/>
                <w:sz w:val="22"/>
                <w:szCs w:val="22"/>
              </w:rPr>
              <w:t xml:space="preserve">      </w:t>
            </w:r>
            <w:r w:rsidR="00A256D1">
              <w:rPr>
                <w:rFonts w:cs="Arial"/>
                <w:b/>
                <w:sz w:val="22"/>
                <w:szCs w:val="22"/>
              </w:rPr>
              <w:t>10.657</w:t>
            </w:r>
            <w:r>
              <w:rPr>
                <w:rFonts w:cs="Arial"/>
                <w:b/>
                <w:sz w:val="22"/>
                <w:szCs w:val="22"/>
              </w:rPr>
              <w:t>,</w:t>
            </w:r>
            <w:r w:rsidR="00A256D1">
              <w:rPr>
                <w:rFonts w:cs="Arial"/>
                <w:b/>
                <w:sz w:val="22"/>
                <w:szCs w:val="22"/>
              </w:rPr>
              <w:t>53</w:t>
            </w:r>
          </w:p>
        </w:tc>
      </w:tr>
      <w:tr w:rsidR="009A6151" w14:paraId="56009655" w14:textId="77777777" w:rsidTr="00FB14CA">
        <w:tc>
          <w:tcPr>
            <w:tcW w:w="7621" w:type="dxa"/>
            <w:tcBorders>
              <w:right w:val="nil"/>
            </w:tcBorders>
          </w:tcPr>
          <w:p w14:paraId="641629BD" w14:textId="77777777" w:rsidR="009A6151" w:rsidRDefault="009A6151" w:rsidP="00FB14CA">
            <w:r>
              <w:t xml:space="preserve">Overige kosten </w:t>
            </w:r>
            <w:r w:rsidR="00101973">
              <w:t>zijn</w:t>
            </w:r>
            <w:r>
              <w:t xml:space="preserve"> de bankkosten van de Rabobank</w:t>
            </w:r>
            <w:r w:rsidR="00101973">
              <w:t>, die hoog zijn</w:t>
            </w:r>
            <w:r>
              <w:t xml:space="preserve">. </w:t>
            </w:r>
            <w:r w:rsidR="00101973">
              <w:t>Echter door een contract van het landelijk bureau zijn wie hieraan gebonden als provincies.</w:t>
            </w:r>
          </w:p>
          <w:p w14:paraId="1E454D4E" w14:textId="77777777" w:rsidR="00A256D1" w:rsidRDefault="00A256D1" w:rsidP="00FB14CA"/>
          <w:p w14:paraId="23866DE1" w14:textId="26B4C0B8" w:rsidR="00A256D1" w:rsidRPr="00593043" w:rsidRDefault="00A256D1" w:rsidP="00FB14CA">
            <w:r>
              <w:t>Verder is besloten de balanspost Vorderingen Debiteuren op te schonen, daar dit oude posten zijn en oninbaar zijn.</w:t>
            </w:r>
          </w:p>
        </w:tc>
        <w:tc>
          <w:tcPr>
            <w:tcW w:w="1667" w:type="dxa"/>
            <w:tcBorders>
              <w:left w:val="nil"/>
            </w:tcBorders>
          </w:tcPr>
          <w:p w14:paraId="77320BEE" w14:textId="77777777" w:rsidR="009A6151" w:rsidRDefault="009A6151" w:rsidP="00FB14CA">
            <w:pPr>
              <w:rPr>
                <w:rFonts w:cs="Arial"/>
                <w:b/>
                <w:sz w:val="22"/>
                <w:szCs w:val="22"/>
                <w:u w:val="single"/>
              </w:rPr>
            </w:pPr>
          </w:p>
        </w:tc>
      </w:tr>
    </w:tbl>
    <w:p w14:paraId="6F9411DE" w14:textId="77777777" w:rsidR="009A6151" w:rsidRDefault="009A6151" w:rsidP="00743406">
      <w:pPr>
        <w:jc w:val="both"/>
        <w:rPr>
          <w:rFonts w:cs="Arial"/>
          <w:b/>
          <w:sz w:val="22"/>
          <w:szCs w:val="22"/>
        </w:rPr>
      </w:pPr>
    </w:p>
    <w:p w14:paraId="1E7E6D6F" w14:textId="77777777" w:rsidR="009A6151" w:rsidRPr="00743406" w:rsidRDefault="009A6151" w:rsidP="00743406">
      <w:pPr>
        <w:jc w:val="both"/>
        <w:rPr>
          <w:rFonts w:cs="Arial"/>
          <w:b/>
          <w:sz w:val="22"/>
          <w:szCs w:val="22"/>
        </w:rPr>
      </w:pPr>
    </w:p>
    <w:tbl>
      <w:tblPr>
        <w:tblStyle w:val="Tabelraster"/>
        <w:tblW w:w="0" w:type="auto"/>
        <w:tblLook w:val="04A0" w:firstRow="1" w:lastRow="0" w:firstColumn="1" w:lastColumn="0" w:noHBand="0" w:noVBand="1"/>
      </w:tblPr>
      <w:tblGrid>
        <w:gridCol w:w="7552"/>
        <w:gridCol w:w="1510"/>
      </w:tblGrid>
      <w:tr w:rsidR="005359CD" w:rsidRPr="00104D6D" w14:paraId="03AF490C" w14:textId="77777777" w:rsidTr="00CC1666">
        <w:tc>
          <w:tcPr>
            <w:tcW w:w="7763" w:type="dxa"/>
            <w:tcBorders>
              <w:bottom w:val="single" w:sz="4" w:space="0" w:color="000000" w:themeColor="text1"/>
            </w:tcBorders>
            <w:shd w:val="clear" w:color="auto" w:fill="000000" w:themeFill="text1"/>
          </w:tcPr>
          <w:p w14:paraId="7338F17F" w14:textId="279C88F6" w:rsidR="005359CD" w:rsidRPr="00104D6D" w:rsidRDefault="00CC1666" w:rsidP="0074249E">
            <w:pPr>
              <w:rPr>
                <w:rFonts w:cs="Arial"/>
                <w:b/>
                <w:color w:val="FFFFFF" w:themeColor="background1"/>
                <w:sz w:val="22"/>
                <w:szCs w:val="22"/>
              </w:rPr>
            </w:pPr>
            <w:r>
              <w:rPr>
                <w:rFonts w:cs="Arial"/>
                <w:b/>
                <w:color w:val="FFFFFF" w:themeColor="background1"/>
                <w:sz w:val="22"/>
                <w:szCs w:val="22"/>
              </w:rPr>
              <w:t>Resultaat</w:t>
            </w:r>
          </w:p>
        </w:tc>
        <w:tc>
          <w:tcPr>
            <w:tcW w:w="1525" w:type="dxa"/>
            <w:tcBorders>
              <w:bottom w:val="single" w:sz="4" w:space="0" w:color="000000" w:themeColor="text1"/>
            </w:tcBorders>
            <w:shd w:val="clear" w:color="auto" w:fill="000000" w:themeFill="text1"/>
          </w:tcPr>
          <w:p w14:paraId="6A957B7D" w14:textId="2AD0918B" w:rsidR="005359CD" w:rsidRPr="00593043" w:rsidRDefault="005359CD" w:rsidP="0074249E">
            <w:pPr>
              <w:jc w:val="right"/>
              <w:rPr>
                <w:rFonts w:cs="Arial"/>
                <w:b/>
                <w:sz w:val="22"/>
                <w:szCs w:val="22"/>
              </w:rPr>
            </w:pPr>
            <w:r w:rsidRPr="00743406">
              <w:rPr>
                <w:rFonts w:cs="Arial"/>
                <w:b/>
                <w:sz w:val="22"/>
                <w:szCs w:val="22"/>
              </w:rPr>
              <w:t xml:space="preserve">€  </w:t>
            </w:r>
            <w:r w:rsidR="00CC1666">
              <w:rPr>
                <w:rFonts w:cs="Arial"/>
                <w:b/>
                <w:sz w:val="22"/>
                <w:szCs w:val="22"/>
              </w:rPr>
              <w:t xml:space="preserve"> </w:t>
            </w:r>
            <w:r w:rsidR="00906CFC">
              <w:rPr>
                <w:rFonts w:cs="Arial"/>
                <w:b/>
                <w:sz w:val="22"/>
                <w:szCs w:val="22"/>
              </w:rPr>
              <w:t>2</w:t>
            </w:r>
            <w:r w:rsidR="00C41058">
              <w:rPr>
                <w:rFonts w:cs="Arial"/>
                <w:b/>
                <w:sz w:val="22"/>
                <w:szCs w:val="22"/>
              </w:rPr>
              <w:t>.</w:t>
            </w:r>
            <w:r w:rsidR="00906CFC">
              <w:rPr>
                <w:rFonts w:cs="Arial"/>
                <w:b/>
                <w:sz w:val="22"/>
                <w:szCs w:val="22"/>
              </w:rPr>
              <w:t>762</w:t>
            </w:r>
            <w:r w:rsidR="00CC1666">
              <w:rPr>
                <w:rFonts w:cs="Arial"/>
                <w:b/>
                <w:sz w:val="22"/>
                <w:szCs w:val="22"/>
              </w:rPr>
              <w:t>,</w:t>
            </w:r>
            <w:r w:rsidR="00906CFC">
              <w:rPr>
                <w:rFonts w:cs="Arial"/>
                <w:b/>
                <w:sz w:val="22"/>
                <w:szCs w:val="22"/>
              </w:rPr>
              <w:t>91</w:t>
            </w:r>
          </w:p>
        </w:tc>
      </w:tr>
      <w:tr w:rsidR="005359CD" w14:paraId="28144829" w14:textId="77777777" w:rsidTr="00CC1666">
        <w:tc>
          <w:tcPr>
            <w:tcW w:w="7763" w:type="dxa"/>
            <w:tcBorders>
              <w:right w:val="nil"/>
            </w:tcBorders>
          </w:tcPr>
          <w:p w14:paraId="405C9961" w14:textId="13FE5C49" w:rsidR="00C41058" w:rsidRDefault="00C41058" w:rsidP="00C41058">
            <w:pPr>
              <w:rPr>
                <w:rFonts w:cs="Arial"/>
                <w:b/>
                <w:bCs/>
              </w:rPr>
            </w:pPr>
          </w:p>
          <w:p w14:paraId="69BF9DE6" w14:textId="143B41EB" w:rsidR="00B94826" w:rsidRPr="00906CFC" w:rsidRDefault="00B94826" w:rsidP="00C41058">
            <w:pPr>
              <w:rPr>
                <w:rFonts w:cs="Arial"/>
                <w:b/>
                <w:bCs/>
              </w:rPr>
            </w:pPr>
          </w:p>
        </w:tc>
        <w:tc>
          <w:tcPr>
            <w:tcW w:w="1525" w:type="dxa"/>
            <w:tcBorders>
              <w:left w:val="nil"/>
            </w:tcBorders>
          </w:tcPr>
          <w:p w14:paraId="77197E6E" w14:textId="77777777" w:rsidR="005359CD" w:rsidRDefault="005359CD" w:rsidP="005936D5">
            <w:pPr>
              <w:rPr>
                <w:rFonts w:cs="Arial"/>
                <w:b/>
                <w:sz w:val="22"/>
                <w:szCs w:val="22"/>
                <w:u w:val="single"/>
              </w:rPr>
            </w:pPr>
          </w:p>
        </w:tc>
      </w:tr>
    </w:tbl>
    <w:p w14:paraId="2D210CA9" w14:textId="77777777" w:rsidR="00743406" w:rsidRPr="00743406" w:rsidRDefault="00743406" w:rsidP="00743406">
      <w:pPr>
        <w:jc w:val="both"/>
        <w:rPr>
          <w:rFonts w:cs="Arial"/>
          <w:b/>
          <w:sz w:val="22"/>
          <w:szCs w:val="22"/>
        </w:rPr>
      </w:pPr>
    </w:p>
    <w:p w14:paraId="67EF78F9" w14:textId="293D3E51" w:rsidR="006664FE" w:rsidRDefault="006664FE" w:rsidP="00CD42D0">
      <w:pPr>
        <w:spacing w:after="200" w:line="276" w:lineRule="auto"/>
        <w:rPr>
          <w:rFonts w:cs="Arial"/>
          <w:sz w:val="22"/>
          <w:szCs w:val="22"/>
        </w:rPr>
      </w:pPr>
    </w:p>
    <w:p w14:paraId="5F4CD6B5" w14:textId="25FCCEF4" w:rsidR="007E6BDD" w:rsidRPr="00CE1574" w:rsidRDefault="00B94826" w:rsidP="00CD42D0">
      <w:pPr>
        <w:spacing w:after="200" w:line="276" w:lineRule="auto"/>
        <w:rPr>
          <w:b/>
          <w:bCs/>
          <w:noProof/>
        </w:rPr>
      </w:pPr>
      <w:r w:rsidRPr="00CE1574">
        <w:rPr>
          <w:b/>
          <w:bCs/>
          <w:noProof/>
        </w:rPr>
        <w:t>Eindbalans</w:t>
      </w:r>
    </w:p>
    <w:p w14:paraId="5FAC044D" w14:textId="067C5F8B" w:rsidR="00B94826" w:rsidRDefault="00B94826" w:rsidP="00CD42D0">
      <w:pPr>
        <w:spacing w:after="200" w:line="276" w:lineRule="auto"/>
        <w:rPr>
          <w:noProof/>
        </w:rPr>
      </w:pPr>
      <w:r>
        <w:rPr>
          <w:noProof/>
        </w:rPr>
        <w:t xml:space="preserve">Er is voor gekozen om het aantal posten te vereenvoudigen. </w:t>
      </w:r>
    </w:p>
    <w:p w14:paraId="6C6A1CBA" w14:textId="4DDEB4DF" w:rsidR="00B94826" w:rsidRDefault="00B94826" w:rsidP="00CD42D0">
      <w:pPr>
        <w:spacing w:after="200" w:line="276" w:lineRule="auto"/>
        <w:rPr>
          <w:rFonts w:cs="Arial"/>
          <w:sz w:val="22"/>
          <w:szCs w:val="22"/>
        </w:rPr>
      </w:pPr>
      <w:r>
        <w:rPr>
          <w:noProof/>
        </w:rPr>
        <w:t xml:space="preserve">Tevens wordt vanuit het landelijk CDA geadviseerd een algemene reserve aan te houden tussen de 0,5 en 1,00 van de jaarlijkse baten. Ondanks een klein positief resultaat voldoet de financiele positie van het CDA Noord-Holland hier (nog) niet aan. </w:t>
      </w:r>
    </w:p>
    <w:p w14:paraId="17D0E1F7" w14:textId="437971A9" w:rsidR="00B94826" w:rsidRDefault="00B94826" w:rsidP="00CD42D0">
      <w:pPr>
        <w:spacing w:after="200" w:line="276" w:lineRule="auto"/>
        <w:rPr>
          <w:rFonts w:cs="Arial"/>
          <w:sz w:val="22"/>
          <w:szCs w:val="22"/>
        </w:rPr>
      </w:pPr>
    </w:p>
    <w:p w14:paraId="250A2B53" w14:textId="4DD9BE7D" w:rsidR="00B94826" w:rsidRDefault="00F431A4" w:rsidP="00CD42D0">
      <w:pPr>
        <w:spacing w:after="200" w:line="276" w:lineRule="auto"/>
        <w:rPr>
          <w:rFonts w:cs="Arial"/>
          <w:sz w:val="22"/>
          <w:szCs w:val="22"/>
        </w:rPr>
      </w:pPr>
      <w:r w:rsidRPr="00F431A4">
        <w:drawing>
          <wp:inline distT="0" distB="0" distL="0" distR="0" wp14:anchorId="1724EFF7" wp14:editId="159E7C8B">
            <wp:extent cx="5760720" cy="2849880"/>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849880"/>
                    </a:xfrm>
                    <a:prstGeom prst="rect">
                      <a:avLst/>
                    </a:prstGeom>
                    <a:noFill/>
                    <a:ln>
                      <a:noFill/>
                    </a:ln>
                  </pic:spPr>
                </pic:pic>
              </a:graphicData>
            </a:graphic>
          </wp:inline>
        </w:drawing>
      </w:r>
    </w:p>
    <w:p w14:paraId="5DE241BD" w14:textId="77777777" w:rsidR="00B94826" w:rsidRPr="00743406" w:rsidRDefault="00B94826" w:rsidP="00CD42D0">
      <w:pPr>
        <w:spacing w:after="200" w:line="276" w:lineRule="auto"/>
        <w:rPr>
          <w:rFonts w:cs="Arial"/>
          <w:sz w:val="22"/>
          <w:szCs w:val="22"/>
        </w:rPr>
      </w:pPr>
    </w:p>
    <w:sectPr w:rsidR="00B94826" w:rsidRPr="00743406" w:rsidSect="00102403">
      <w:headerReference w:type="even" r:id="rId24"/>
      <w:headerReference w:type="default" r:id="rId25"/>
      <w:footerReference w:type="even" r:id="rId26"/>
      <w:footerReference w:type="default" r:id="rId2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5263" w14:textId="77777777" w:rsidR="008C4BAC" w:rsidRDefault="008C4BAC" w:rsidP="00743406">
      <w:r>
        <w:separator/>
      </w:r>
    </w:p>
  </w:endnote>
  <w:endnote w:type="continuationSeparator" w:id="0">
    <w:p w14:paraId="313422EC" w14:textId="77777777" w:rsidR="008C4BAC" w:rsidRDefault="008C4BAC" w:rsidP="0074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00748" w14:textId="77777777" w:rsidR="001D3A8F" w:rsidRDefault="001D3A8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37842375" w14:textId="77777777" w:rsidR="001D3A8F" w:rsidRDefault="001D3A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24119"/>
      <w:docPartObj>
        <w:docPartGallery w:val="Page Numbers (Bottom of Page)"/>
        <w:docPartUnique/>
      </w:docPartObj>
    </w:sdtPr>
    <w:sdtEndPr/>
    <w:sdtContent>
      <w:p w14:paraId="383502ED" w14:textId="77777777" w:rsidR="001D3A8F" w:rsidRDefault="001D3A8F">
        <w:pPr>
          <w:pStyle w:val="Voettekst"/>
          <w:jc w:val="center"/>
        </w:pPr>
        <w:r>
          <w:fldChar w:fldCharType="begin"/>
        </w:r>
        <w:r>
          <w:instrText xml:space="preserve"> PAGE   \* MERGEFORMAT </w:instrText>
        </w:r>
        <w:r>
          <w:fldChar w:fldCharType="separate"/>
        </w:r>
        <w:r>
          <w:rPr>
            <w:noProof/>
          </w:rPr>
          <w:t>1</w:t>
        </w:r>
        <w:r>
          <w:rPr>
            <w:noProof/>
          </w:rPr>
          <w:fldChar w:fldCharType="end"/>
        </w:r>
      </w:p>
    </w:sdtContent>
  </w:sdt>
  <w:p w14:paraId="64BE1F5A" w14:textId="77777777" w:rsidR="001D3A8F" w:rsidRDefault="001D3A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B38B2" w14:textId="77777777" w:rsidR="008C4BAC" w:rsidRDefault="008C4BAC" w:rsidP="00743406">
      <w:r>
        <w:separator/>
      </w:r>
    </w:p>
  </w:footnote>
  <w:footnote w:type="continuationSeparator" w:id="0">
    <w:p w14:paraId="6A5CD2BE" w14:textId="77777777" w:rsidR="008C4BAC" w:rsidRDefault="008C4BAC" w:rsidP="0074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E2D14" w14:textId="77777777" w:rsidR="001D3A8F" w:rsidRDefault="001D3A8F" w:rsidP="005936D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4742CF0" w14:textId="77777777" w:rsidR="001D3A8F" w:rsidRDefault="001D3A8F" w:rsidP="005936D5">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489E" w14:textId="72B9E35E" w:rsidR="001D3A8F" w:rsidRPr="00F43B22" w:rsidRDefault="001D3A8F" w:rsidP="005936D5">
    <w:pPr>
      <w:pStyle w:val="Koptekst"/>
      <w:ind w:right="360"/>
      <w:rPr>
        <w:b/>
        <w:color w:val="00B050"/>
        <w:sz w:val="28"/>
        <w:szCs w:val="28"/>
      </w:rPr>
    </w:pPr>
    <w:r>
      <w:rPr>
        <w:b/>
        <w:color w:val="00B050"/>
        <w:sz w:val="28"/>
        <w:szCs w:val="28"/>
      </w:rPr>
      <w:t>Jaarrekening</w:t>
    </w:r>
    <w:r w:rsidRPr="00F43B22">
      <w:rPr>
        <w:b/>
        <w:color w:val="00B050"/>
        <w:sz w:val="28"/>
        <w:szCs w:val="28"/>
      </w:rPr>
      <w:t xml:space="preserve"> CDA Noord-Holland 20</w:t>
    </w:r>
    <w:r w:rsidR="00F66ECE">
      <w:rPr>
        <w:b/>
        <w:color w:val="00B050"/>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70716"/>
    <w:multiLevelType w:val="hybridMultilevel"/>
    <w:tmpl w:val="ED186E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42916EE8"/>
    <w:multiLevelType w:val="hybridMultilevel"/>
    <w:tmpl w:val="3CD07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953EAF"/>
    <w:multiLevelType w:val="hybridMultilevel"/>
    <w:tmpl w:val="F21A9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804868"/>
    <w:multiLevelType w:val="hybridMultilevel"/>
    <w:tmpl w:val="954AE16C"/>
    <w:lvl w:ilvl="0" w:tplc="911A0C7E">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FB529C"/>
    <w:multiLevelType w:val="hybridMultilevel"/>
    <w:tmpl w:val="C90C5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06"/>
    <w:rsid w:val="000064C4"/>
    <w:rsid w:val="0001501D"/>
    <w:rsid w:val="000167C8"/>
    <w:rsid w:val="0005786C"/>
    <w:rsid w:val="000857EB"/>
    <w:rsid w:val="000B0E53"/>
    <w:rsid w:val="000B7CC5"/>
    <w:rsid w:val="000C0219"/>
    <w:rsid w:val="000C373D"/>
    <w:rsid w:val="000E144C"/>
    <w:rsid w:val="0010170C"/>
    <w:rsid w:val="00101973"/>
    <w:rsid w:val="00102403"/>
    <w:rsid w:val="00104D6D"/>
    <w:rsid w:val="00116835"/>
    <w:rsid w:val="00130E5E"/>
    <w:rsid w:val="00142698"/>
    <w:rsid w:val="00153E4A"/>
    <w:rsid w:val="0017213B"/>
    <w:rsid w:val="00191F38"/>
    <w:rsid w:val="001B030C"/>
    <w:rsid w:val="001B15DC"/>
    <w:rsid w:val="001B43EE"/>
    <w:rsid w:val="001D3A8F"/>
    <w:rsid w:val="00246F2C"/>
    <w:rsid w:val="002738B9"/>
    <w:rsid w:val="00282C63"/>
    <w:rsid w:val="002A217C"/>
    <w:rsid w:val="002A2596"/>
    <w:rsid w:val="002A7548"/>
    <w:rsid w:val="002B5E97"/>
    <w:rsid w:val="002B62E1"/>
    <w:rsid w:val="002D5A43"/>
    <w:rsid w:val="002D790A"/>
    <w:rsid w:val="00301666"/>
    <w:rsid w:val="00310440"/>
    <w:rsid w:val="00334E9C"/>
    <w:rsid w:val="003A26F2"/>
    <w:rsid w:val="003B00D1"/>
    <w:rsid w:val="003B465C"/>
    <w:rsid w:val="003D5014"/>
    <w:rsid w:val="003D7D32"/>
    <w:rsid w:val="004248C9"/>
    <w:rsid w:val="0043409E"/>
    <w:rsid w:val="004464D7"/>
    <w:rsid w:val="004470D3"/>
    <w:rsid w:val="0048233D"/>
    <w:rsid w:val="00483DF9"/>
    <w:rsid w:val="004C3596"/>
    <w:rsid w:val="004D1D87"/>
    <w:rsid w:val="004E6D01"/>
    <w:rsid w:val="00501609"/>
    <w:rsid w:val="00522BB5"/>
    <w:rsid w:val="005258DA"/>
    <w:rsid w:val="005359CD"/>
    <w:rsid w:val="0056718D"/>
    <w:rsid w:val="005760F9"/>
    <w:rsid w:val="00593043"/>
    <w:rsid w:val="005936D5"/>
    <w:rsid w:val="005B171F"/>
    <w:rsid w:val="005D1E29"/>
    <w:rsid w:val="005F16EF"/>
    <w:rsid w:val="00621006"/>
    <w:rsid w:val="00623F49"/>
    <w:rsid w:val="00641CBD"/>
    <w:rsid w:val="006608DA"/>
    <w:rsid w:val="006664FE"/>
    <w:rsid w:val="006A0A44"/>
    <w:rsid w:val="006E65CD"/>
    <w:rsid w:val="006F60F5"/>
    <w:rsid w:val="00723BF5"/>
    <w:rsid w:val="00736891"/>
    <w:rsid w:val="0074249E"/>
    <w:rsid w:val="00743406"/>
    <w:rsid w:val="007454BA"/>
    <w:rsid w:val="00782729"/>
    <w:rsid w:val="007B598F"/>
    <w:rsid w:val="007E6BDD"/>
    <w:rsid w:val="007F61B9"/>
    <w:rsid w:val="00815675"/>
    <w:rsid w:val="00826DAF"/>
    <w:rsid w:val="00840531"/>
    <w:rsid w:val="00862D3E"/>
    <w:rsid w:val="0088042D"/>
    <w:rsid w:val="008C4BAC"/>
    <w:rsid w:val="008D0475"/>
    <w:rsid w:val="008E58B0"/>
    <w:rsid w:val="00904AF6"/>
    <w:rsid w:val="00906CFC"/>
    <w:rsid w:val="009104B4"/>
    <w:rsid w:val="0091065E"/>
    <w:rsid w:val="00914612"/>
    <w:rsid w:val="009409C9"/>
    <w:rsid w:val="00973EB6"/>
    <w:rsid w:val="009811BF"/>
    <w:rsid w:val="0098176D"/>
    <w:rsid w:val="009A6151"/>
    <w:rsid w:val="009B528E"/>
    <w:rsid w:val="009D1624"/>
    <w:rsid w:val="009D4DA1"/>
    <w:rsid w:val="009D7750"/>
    <w:rsid w:val="009F5D17"/>
    <w:rsid w:val="00A256D1"/>
    <w:rsid w:val="00A559AA"/>
    <w:rsid w:val="00A826BC"/>
    <w:rsid w:val="00AA791B"/>
    <w:rsid w:val="00AC4DA1"/>
    <w:rsid w:val="00AE6907"/>
    <w:rsid w:val="00B011E0"/>
    <w:rsid w:val="00B41BB2"/>
    <w:rsid w:val="00B5407B"/>
    <w:rsid w:val="00B94826"/>
    <w:rsid w:val="00BD4FD4"/>
    <w:rsid w:val="00BF4F6A"/>
    <w:rsid w:val="00C07A03"/>
    <w:rsid w:val="00C34632"/>
    <w:rsid w:val="00C41058"/>
    <w:rsid w:val="00C56DBD"/>
    <w:rsid w:val="00C60A83"/>
    <w:rsid w:val="00C80439"/>
    <w:rsid w:val="00CC1666"/>
    <w:rsid w:val="00CD42D0"/>
    <w:rsid w:val="00CE1574"/>
    <w:rsid w:val="00D24990"/>
    <w:rsid w:val="00D266D2"/>
    <w:rsid w:val="00D562CF"/>
    <w:rsid w:val="00D63B99"/>
    <w:rsid w:val="00D678ED"/>
    <w:rsid w:val="00E8190D"/>
    <w:rsid w:val="00EE2303"/>
    <w:rsid w:val="00F0060A"/>
    <w:rsid w:val="00F06897"/>
    <w:rsid w:val="00F23906"/>
    <w:rsid w:val="00F431A4"/>
    <w:rsid w:val="00F43B22"/>
    <w:rsid w:val="00F66ECE"/>
    <w:rsid w:val="00F74FC7"/>
    <w:rsid w:val="00FA3353"/>
    <w:rsid w:val="00FB5151"/>
    <w:rsid w:val="00FC0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B33D"/>
  <w15:docId w15:val="{6AA66D63-B07C-4A0B-A39D-2208FBA2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3406"/>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43406"/>
    <w:pPr>
      <w:tabs>
        <w:tab w:val="center" w:pos="4536"/>
        <w:tab w:val="right" w:pos="9072"/>
      </w:tabs>
    </w:pPr>
  </w:style>
  <w:style w:type="character" w:customStyle="1" w:styleId="VoettekstChar">
    <w:name w:val="Voettekst Char"/>
    <w:basedOn w:val="Standaardalinea-lettertype"/>
    <w:link w:val="Voettekst"/>
    <w:uiPriority w:val="99"/>
    <w:rsid w:val="00743406"/>
    <w:rPr>
      <w:rFonts w:ascii="Arial" w:eastAsia="Times New Roman" w:hAnsi="Arial" w:cs="Times New Roman"/>
      <w:sz w:val="20"/>
      <w:szCs w:val="20"/>
      <w:lang w:eastAsia="nl-NL"/>
    </w:rPr>
  </w:style>
  <w:style w:type="character" w:styleId="Paginanummer">
    <w:name w:val="page number"/>
    <w:basedOn w:val="Standaardalinea-lettertype"/>
    <w:rsid w:val="00743406"/>
  </w:style>
  <w:style w:type="paragraph" w:styleId="Koptekst">
    <w:name w:val="header"/>
    <w:basedOn w:val="Standaard"/>
    <w:link w:val="KoptekstChar"/>
    <w:uiPriority w:val="99"/>
    <w:rsid w:val="00743406"/>
    <w:pPr>
      <w:tabs>
        <w:tab w:val="center" w:pos="4536"/>
        <w:tab w:val="right" w:pos="9072"/>
      </w:tabs>
    </w:pPr>
  </w:style>
  <w:style w:type="character" w:customStyle="1" w:styleId="KoptekstChar">
    <w:name w:val="Koptekst Char"/>
    <w:basedOn w:val="Standaardalinea-lettertype"/>
    <w:link w:val="Koptekst"/>
    <w:uiPriority w:val="99"/>
    <w:rsid w:val="00743406"/>
    <w:rPr>
      <w:rFonts w:ascii="Arial" w:eastAsia="Times New Roman" w:hAnsi="Arial" w:cs="Times New Roman"/>
      <w:sz w:val="20"/>
      <w:szCs w:val="20"/>
      <w:lang w:eastAsia="nl-NL"/>
    </w:rPr>
  </w:style>
  <w:style w:type="paragraph" w:styleId="Lijstalinea">
    <w:name w:val="List Paragraph"/>
    <w:basedOn w:val="Standaard"/>
    <w:uiPriority w:val="34"/>
    <w:qFormat/>
    <w:rsid w:val="00743406"/>
    <w:pPr>
      <w:ind w:left="720"/>
      <w:contextualSpacing/>
    </w:pPr>
  </w:style>
  <w:style w:type="table" w:styleId="Tabelraster">
    <w:name w:val="Table Grid"/>
    <w:basedOn w:val="Standaardtabel"/>
    <w:uiPriority w:val="59"/>
    <w:rsid w:val="00104D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102403"/>
    <w:rPr>
      <w:rFonts w:ascii="Tahoma" w:hAnsi="Tahoma" w:cs="Tahoma"/>
      <w:sz w:val="16"/>
      <w:szCs w:val="16"/>
    </w:rPr>
  </w:style>
  <w:style w:type="character" w:customStyle="1" w:styleId="BallontekstChar">
    <w:name w:val="Ballontekst Char"/>
    <w:basedOn w:val="Standaardalinea-lettertype"/>
    <w:link w:val="Ballontekst"/>
    <w:uiPriority w:val="99"/>
    <w:semiHidden/>
    <w:rsid w:val="0010240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4465">
      <w:bodyDiv w:val="1"/>
      <w:marLeft w:val="0"/>
      <w:marRight w:val="0"/>
      <w:marTop w:val="0"/>
      <w:marBottom w:val="0"/>
      <w:divBdr>
        <w:top w:val="none" w:sz="0" w:space="0" w:color="auto"/>
        <w:left w:val="none" w:sz="0" w:space="0" w:color="auto"/>
        <w:bottom w:val="none" w:sz="0" w:space="0" w:color="auto"/>
        <w:right w:val="none" w:sz="0" w:space="0" w:color="auto"/>
      </w:divBdr>
    </w:div>
    <w:div w:id="385222215">
      <w:bodyDiv w:val="1"/>
      <w:marLeft w:val="0"/>
      <w:marRight w:val="0"/>
      <w:marTop w:val="0"/>
      <w:marBottom w:val="0"/>
      <w:divBdr>
        <w:top w:val="none" w:sz="0" w:space="0" w:color="auto"/>
        <w:left w:val="none" w:sz="0" w:space="0" w:color="auto"/>
        <w:bottom w:val="none" w:sz="0" w:space="0" w:color="auto"/>
        <w:right w:val="none" w:sz="0" w:space="0" w:color="auto"/>
      </w:divBdr>
    </w:div>
    <w:div w:id="7055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23B7-1A93-49AE-985F-51741BD3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6</Pages>
  <Words>775</Words>
  <Characters>4266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Jaarrekening CDA NH</dc:subject>
  <dc:creator>A. Sandbergen</dc:creator>
  <cp:lastModifiedBy>Ciel Stevens</cp:lastModifiedBy>
  <cp:revision>6</cp:revision>
  <cp:lastPrinted>2017-02-28T09:24:00Z</cp:lastPrinted>
  <dcterms:created xsi:type="dcterms:W3CDTF">2021-03-13T10:22:00Z</dcterms:created>
  <dcterms:modified xsi:type="dcterms:W3CDTF">2021-03-14T10:13:00Z</dcterms:modified>
</cp:coreProperties>
</file>